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jc w:val="center"/>
        <w:rPr>
          <w:b/>
          <w:sz w:val="72"/>
          <w:szCs w:val="72"/>
        </w:rPr>
      </w:pPr>
      <w:bookmarkStart w:id="72" w:name="_GoBack"/>
      <w:bookmarkEnd w:id="72"/>
    </w:p>
    <w:p>
      <w:pPr>
        <w:adjustRightInd w:val="0"/>
        <w:snapToGrid w:val="0"/>
        <w:spacing w:line="240" w:lineRule="auto"/>
        <w:ind w:firstLine="0" w:firstLineChars="0"/>
        <w:jc w:val="center"/>
        <w:outlineLvl w:val="0"/>
        <w:rPr>
          <w:rFonts w:ascii="方正小标宋_GBK" w:eastAsia="方正小标宋_GBK"/>
          <w:bCs/>
          <w:sz w:val="72"/>
          <w:szCs w:val="72"/>
        </w:rPr>
      </w:pPr>
      <w:bookmarkStart w:id="0" w:name="_Toc68101064"/>
      <w:r>
        <w:rPr>
          <w:rFonts w:hint="eastAsia" w:ascii="方正小标宋_GBK" w:eastAsia="方正小标宋_GBK"/>
          <w:bCs/>
          <w:sz w:val="72"/>
          <w:szCs w:val="72"/>
        </w:rPr>
        <w:t>建设项目环境影响报告表</w:t>
      </w:r>
      <w:bookmarkEnd w:id="0"/>
    </w:p>
    <w:p>
      <w:pPr>
        <w:adjustRightInd w:val="0"/>
        <w:snapToGrid w:val="0"/>
        <w:spacing w:before="249" w:beforeLines="80" w:line="240" w:lineRule="auto"/>
        <w:ind w:firstLine="0" w:firstLineChars="0"/>
        <w:jc w:val="center"/>
        <w:rPr>
          <w:rFonts w:ascii="楷体_GB2312" w:eastAsia="楷体_GB2312"/>
          <w:bCs/>
          <w:sz w:val="48"/>
          <w:szCs w:val="48"/>
        </w:rPr>
      </w:pPr>
      <w:r>
        <w:rPr>
          <w:rFonts w:hint="eastAsia" w:ascii="楷体_GB2312" w:eastAsia="楷体_GB2312"/>
          <w:bCs/>
          <w:sz w:val="48"/>
          <w:szCs w:val="48"/>
        </w:rPr>
        <w:t>（污染影响类）</w:t>
      </w: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0" w:firstLineChars="0"/>
        <w:rPr>
          <w:b/>
          <w:sz w:val="32"/>
          <w:szCs w:val="32"/>
        </w:rPr>
      </w:pPr>
    </w:p>
    <w:p>
      <w:pPr>
        <w:adjustRightInd w:val="0"/>
        <w:snapToGrid w:val="0"/>
        <w:spacing w:line="288" w:lineRule="auto"/>
        <w:ind w:firstLine="720"/>
        <w:jc w:val="center"/>
        <w:rPr>
          <w:rFonts w:ascii="楷体_GB2312" w:eastAsia="楷体_GB2312"/>
          <w:sz w:val="36"/>
          <w:szCs w:val="36"/>
        </w:rPr>
      </w:pPr>
    </w:p>
    <w:tbl>
      <w:tblPr>
        <w:tblStyle w:val="37"/>
        <w:tblW w:w="8544" w:type="dxa"/>
        <w:jc w:val="center"/>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
      <w:tblGrid>
        <w:gridCol w:w="1693"/>
        <w:gridCol w:w="1418"/>
        <w:gridCol w:w="5433"/>
      </w:tblGrid>
      <w:tr>
        <w:tblPrEx>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jc w:val="center"/>
        </w:trPr>
        <w:tc>
          <w:tcPr>
            <w:tcW w:w="1693" w:type="dxa"/>
            <w:tcBorders>
              <w:top w:val="nil"/>
              <w:bottom w:val="nil"/>
              <w:right w:val="nil"/>
            </w:tcBorders>
            <w:tcMar>
              <w:left w:w="0" w:type="dxa"/>
              <w:right w:w="0" w:type="dxa"/>
            </w:tcMar>
            <w:vAlign w:val="bottom"/>
          </w:tcPr>
          <w:p>
            <w:pPr>
              <w:adjustRightInd w:val="0"/>
              <w:snapToGrid w:val="0"/>
              <w:spacing w:line="600" w:lineRule="exact"/>
              <w:ind w:firstLine="0" w:firstLineChars="0"/>
              <w:jc w:val="right"/>
              <w:rPr>
                <w:rFonts w:eastAsia="宋体" w:cs="Times New Roman" w:asciiTheme="minorEastAsia" w:hAnsiTheme="minorEastAsia"/>
                <w:sz w:val="36"/>
                <w:szCs w:val="36"/>
              </w:rPr>
            </w:pPr>
            <w:r>
              <w:rPr>
                <w:rFonts w:hint="eastAsia" w:eastAsia="宋体" w:cs="Times New Roman" w:asciiTheme="minorEastAsia" w:hAnsiTheme="minorEastAsia"/>
                <w:sz w:val="36"/>
                <w:szCs w:val="36"/>
              </w:rPr>
              <w:t>项目名称：</w:t>
            </w:r>
          </w:p>
        </w:tc>
        <w:tc>
          <w:tcPr>
            <w:tcW w:w="6851" w:type="dxa"/>
            <w:gridSpan w:val="2"/>
            <w:tcBorders>
              <w:left w:val="nil"/>
            </w:tcBorders>
            <w:vAlign w:val="bottom"/>
          </w:tcPr>
          <w:p>
            <w:pPr>
              <w:adjustRightInd w:val="0"/>
              <w:snapToGrid w:val="0"/>
              <w:spacing w:line="600" w:lineRule="exact"/>
              <w:ind w:firstLine="0" w:firstLineChars="0"/>
              <w:jc w:val="center"/>
              <w:rPr>
                <w:rFonts w:eastAsia="宋体" w:cs="Times New Roman" w:asciiTheme="minorEastAsia" w:hAnsiTheme="minorEastAsia"/>
                <w:sz w:val="36"/>
                <w:szCs w:val="36"/>
              </w:rPr>
            </w:pPr>
            <w:r>
              <w:rPr>
                <w:rFonts w:hint="eastAsia" w:eastAsia="宋体" w:cs="Times New Roman" w:asciiTheme="minorEastAsia" w:hAnsiTheme="minorEastAsia"/>
                <w:sz w:val="36"/>
                <w:szCs w:val="36"/>
              </w:rPr>
              <w:t>姚安县龙岗卫生院建设项目</w:t>
            </w:r>
          </w:p>
        </w:tc>
      </w:tr>
      <w:tr>
        <w:tblPrEx>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jc w:val="center"/>
        </w:trPr>
        <w:tc>
          <w:tcPr>
            <w:tcW w:w="3111" w:type="dxa"/>
            <w:gridSpan w:val="2"/>
            <w:tcBorders>
              <w:top w:val="nil"/>
              <w:bottom w:val="nil"/>
              <w:right w:val="nil"/>
            </w:tcBorders>
            <w:tcMar>
              <w:left w:w="0" w:type="dxa"/>
              <w:right w:w="0" w:type="dxa"/>
            </w:tcMar>
            <w:vAlign w:val="center"/>
          </w:tcPr>
          <w:p>
            <w:pPr>
              <w:adjustRightInd w:val="0"/>
              <w:snapToGrid w:val="0"/>
              <w:spacing w:line="600" w:lineRule="exact"/>
              <w:ind w:right="180" w:firstLine="0" w:firstLineChars="0"/>
              <w:jc w:val="right"/>
              <w:rPr>
                <w:rFonts w:eastAsia="宋体" w:cs="Times New Roman" w:asciiTheme="minorEastAsia" w:hAnsiTheme="minorEastAsia"/>
                <w:sz w:val="36"/>
                <w:szCs w:val="36"/>
              </w:rPr>
            </w:pPr>
            <w:r>
              <w:rPr>
                <w:rFonts w:hint="eastAsia" w:eastAsia="宋体" w:cs="Times New Roman" w:asciiTheme="minorEastAsia" w:hAnsiTheme="minorEastAsia"/>
                <w:sz w:val="36"/>
                <w:szCs w:val="36"/>
              </w:rPr>
              <w:t>建设单位（盖章）：</w:t>
            </w:r>
          </w:p>
        </w:tc>
        <w:tc>
          <w:tcPr>
            <w:tcW w:w="5433" w:type="dxa"/>
            <w:tcBorders>
              <w:left w:val="nil"/>
            </w:tcBorders>
            <w:vAlign w:val="center"/>
          </w:tcPr>
          <w:p>
            <w:pPr>
              <w:adjustRightInd w:val="0"/>
              <w:snapToGrid w:val="0"/>
              <w:spacing w:line="600" w:lineRule="exact"/>
              <w:ind w:firstLine="0" w:firstLineChars="0"/>
              <w:jc w:val="left"/>
              <w:rPr>
                <w:rFonts w:eastAsia="宋体" w:cs="Times New Roman" w:asciiTheme="minorEastAsia" w:hAnsiTheme="minorEastAsia"/>
                <w:sz w:val="36"/>
                <w:szCs w:val="36"/>
              </w:rPr>
            </w:pPr>
            <w:r>
              <w:rPr>
                <w:rFonts w:hint="eastAsia" w:eastAsia="宋体" w:cs="Times New Roman" w:asciiTheme="minorEastAsia" w:hAnsiTheme="minorEastAsia"/>
                <w:sz w:val="36"/>
                <w:szCs w:val="36"/>
              </w:rPr>
              <w:t>姚安县龙岗卫生院</w:t>
            </w:r>
          </w:p>
        </w:tc>
      </w:tr>
      <w:tr>
        <w:tblPrEx>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jc w:val="center"/>
        </w:trPr>
        <w:tc>
          <w:tcPr>
            <w:tcW w:w="1693" w:type="dxa"/>
            <w:tcBorders>
              <w:top w:val="nil"/>
              <w:bottom w:val="nil"/>
              <w:right w:val="nil"/>
            </w:tcBorders>
            <w:tcMar>
              <w:left w:w="0" w:type="dxa"/>
              <w:right w:w="0" w:type="dxa"/>
            </w:tcMar>
            <w:vAlign w:val="center"/>
          </w:tcPr>
          <w:p>
            <w:pPr>
              <w:adjustRightInd w:val="0"/>
              <w:snapToGrid w:val="0"/>
              <w:spacing w:line="600" w:lineRule="exact"/>
              <w:ind w:firstLine="0" w:firstLineChars="0"/>
              <w:jc w:val="right"/>
              <w:rPr>
                <w:rFonts w:eastAsia="宋体" w:cs="Times New Roman" w:asciiTheme="minorEastAsia" w:hAnsiTheme="minorEastAsia"/>
                <w:sz w:val="36"/>
                <w:szCs w:val="36"/>
              </w:rPr>
            </w:pPr>
            <w:r>
              <w:rPr>
                <w:rFonts w:hint="eastAsia" w:eastAsia="宋体" w:cs="Times New Roman" w:asciiTheme="minorEastAsia" w:hAnsiTheme="minorEastAsia"/>
                <w:sz w:val="36"/>
                <w:szCs w:val="36"/>
              </w:rPr>
              <w:t>编制日期：</w:t>
            </w:r>
          </w:p>
        </w:tc>
        <w:tc>
          <w:tcPr>
            <w:tcW w:w="6851" w:type="dxa"/>
            <w:gridSpan w:val="2"/>
            <w:tcBorders>
              <w:left w:val="nil"/>
            </w:tcBorders>
            <w:vAlign w:val="center"/>
          </w:tcPr>
          <w:p>
            <w:pPr>
              <w:adjustRightInd w:val="0"/>
              <w:snapToGrid w:val="0"/>
              <w:spacing w:line="600" w:lineRule="exact"/>
              <w:ind w:firstLine="0" w:firstLineChars="0"/>
              <w:jc w:val="center"/>
              <w:rPr>
                <w:rFonts w:eastAsia="宋体" w:cs="Times New Roman"/>
                <w:sz w:val="36"/>
                <w:szCs w:val="36"/>
              </w:rPr>
            </w:pPr>
            <w:r>
              <w:rPr>
                <w:rFonts w:eastAsia="宋体" w:cs="Times New Roman"/>
                <w:sz w:val="36"/>
                <w:szCs w:val="36"/>
              </w:rPr>
              <w:t>2021年</w:t>
            </w:r>
            <w:r>
              <w:rPr>
                <w:rFonts w:hint="eastAsia" w:eastAsia="宋体" w:cs="Times New Roman"/>
                <w:sz w:val="36"/>
                <w:szCs w:val="36"/>
              </w:rPr>
              <w:t>12</w:t>
            </w:r>
            <w:r>
              <w:rPr>
                <w:rFonts w:eastAsia="宋体" w:cs="Times New Roman"/>
                <w:sz w:val="36"/>
                <w:szCs w:val="36"/>
              </w:rPr>
              <w:t>月</w:t>
            </w:r>
          </w:p>
        </w:tc>
      </w:tr>
    </w:tbl>
    <w:p>
      <w:pPr>
        <w:adjustRightInd w:val="0"/>
        <w:snapToGrid w:val="0"/>
        <w:spacing w:line="288" w:lineRule="auto"/>
        <w:ind w:firstLine="720"/>
        <w:jc w:val="center"/>
        <w:rPr>
          <w:rFonts w:ascii="楷体_GB2312" w:eastAsia="楷体_GB2312"/>
          <w:sz w:val="36"/>
          <w:szCs w:val="36"/>
        </w:rPr>
      </w:pPr>
    </w:p>
    <w:p>
      <w:pPr>
        <w:adjustRightInd w:val="0"/>
        <w:snapToGrid w:val="0"/>
        <w:spacing w:line="288" w:lineRule="auto"/>
        <w:ind w:firstLine="720"/>
        <w:jc w:val="center"/>
        <w:rPr>
          <w:rFonts w:ascii="楷体_GB2312" w:eastAsia="楷体_GB2312"/>
          <w:sz w:val="36"/>
          <w:szCs w:val="36"/>
        </w:rPr>
      </w:pPr>
    </w:p>
    <w:p>
      <w:pPr>
        <w:adjustRightInd w:val="0"/>
        <w:snapToGrid w:val="0"/>
        <w:spacing w:line="288" w:lineRule="auto"/>
        <w:ind w:firstLine="720"/>
        <w:jc w:val="center"/>
        <w:rPr>
          <w:rFonts w:ascii="楷体_GB2312" w:eastAsia="楷体_GB2312"/>
          <w:sz w:val="36"/>
          <w:szCs w:val="36"/>
        </w:rPr>
      </w:pPr>
    </w:p>
    <w:p>
      <w:pPr>
        <w:adjustRightInd w:val="0"/>
        <w:snapToGrid w:val="0"/>
        <w:spacing w:line="288" w:lineRule="auto"/>
        <w:ind w:firstLine="720"/>
        <w:jc w:val="center"/>
        <w:rPr>
          <w:rFonts w:ascii="楷体_GB2312" w:eastAsia="楷体_GB2312"/>
          <w:sz w:val="36"/>
          <w:szCs w:val="36"/>
        </w:rPr>
      </w:pPr>
    </w:p>
    <w:p>
      <w:pPr>
        <w:adjustRightInd w:val="0"/>
        <w:snapToGrid w:val="0"/>
        <w:spacing w:line="288" w:lineRule="auto"/>
        <w:ind w:firstLine="720"/>
        <w:jc w:val="center"/>
        <w:rPr>
          <w:rFonts w:ascii="楷体_GB2312" w:eastAsia="楷体_GB2312"/>
          <w:sz w:val="36"/>
          <w:szCs w:val="36"/>
        </w:rPr>
      </w:pPr>
    </w:p>
    <w:p>
      <w:pPr>
        <w:adjustRightInd w:val="0"/>
        <w:snapToGrid w:val="0"/>
        <w:spacing w:line="288" w:lineRule="auto"/>
        <w:ind w:firstLine="720"/>
        <w:jc w:val="center"/>
        <w:rPr>
          <w:rFonts w:ascii="楷体_GB2312" w:eastAsia="楷体_GB2312"/>
          <w:sz w:val="36"/>
          <w:szCs w:val="36"/>
        </w:rPr>
      </w:pPr>
    </w:p>
    <w:p>
      <w:pPr>
        <w:adjustRightInd w:val="0"/>
        <w:snapToGrid w:val="0"/>
        <w:spacing w:line="288" w:lineRule="auto"/>
        <w:ind w:firstLine="720"/>
        <w:jc w:val="center"/>
        <w:rPr>
          <w:rFonts w:ascii="楷体_GB2312" w:eastAsia="楷体_GB2312"/>
          <w:sz w:val="36"/>
          <w:szCs w:val="36"/>
        </w:rPr>
      </w:pPr>
    </w:p>
    <w:p>
      <w:pPr>
        <w:adjustRightInd w:val="0"/>
        <w:snapToGrid w:val="0"/>
        <w:spacing w:line="288" w:lineRule="auto"/>
        <w:ind w:firstLine="720"/>
        <w:jc w:val="center"/>
        <w:rPr>
          <w:rFonts w:ascii="楷体_GB2312" w:eastAsia="楷体_GB2312"/>
          <w:sz w:val="36"/>
          <w:szCs w:val="36"/>
        </w:rPr>
      </w:pPr>
      <w:r>
        <w:rPr>
          <w:rFonts w:hint="eastAsia" w:ascii="楷体_GB2312" w:eastAsia="楷体_GB2312"/>
          <w:sz w:val="36"/>
          <w:szCs w:val="36"/>
        </w:rPr>
        <w:t>中华人民共和国生态环境部制</w:t>
      </w:r>
    </w:p>
    <w:p>
      <w:pPr>
        <w:widowControl/>
        <w:spacing w:line="240" w:lineRule="auto"/>
        <w:ind w:firstLine="0" w:firstLineChars="0"/>
        <w:jc w:val="left"/>
        <w:rPr>
          <w:rFonts w:cs="Times New Roman" w:asciiTheme="minorEastAsia" w:hAnsiTheme="minorEastAsia"/>
          <w:b/>
          <w:sz w:val="32"/>
          <w:szCs w:val="32"/>
        </w:rPr>
      </w:pPr>
      <w:r>
        <w:rPr>
          <w:rFonts w:cs="Times New Roman" w:asciiTheme="minorEastAsia" w:hAnsiTheme="minorEastAsia"/>
          <w:b/>
          <w:sz w:val="32"/>
          <w:szCs w:val="32"/>
        </w:rPr>
        <w:br w:type="page"/>
      </w:r>
    </w:p>
    <w:p>
      <w:pPr>
        <w:ind w:firstLine="199" w:firstLineChars="83"/>
        <w:rPr>
          <w:rFonts w:cs="Times New Roman" w:asciiTheme="minorEastAsia" w:hAnsiTheme="minorEastAsia"/>
          <w:szCs w:val="20"/>
        </w:rPr>
      </w:pPr>
    </w:p>
    <w:p>
      <w:pPr>
        <w:ind w:firstLine="199" w:firstLineChars="83"/>
        <w:rPr>
          <w:rFonts w:cs="Times New Roman" w:asciiTheme="minorEastAsia" w:hAnsiTheme="minorEastAsia"/>
          <w:szCs w:val="20"/>
        </w:rPr>
        <w:sectPr>
          <w:headerReference r:id="rId7" w:type="first"/>
          <w:footerReference r:id="rId10" w:type="first"/>
          <w:headerReference r:id="rId5" w:type="default"/>
          <w:footerReference r:id="rId8" w:type="default"/>
          <w:headerReference r:id="rId6" w:type="even"/>
          <w:footerReference r:id="rId9" w:type="even"/>
          <w:pgSz w:w="11906" w:h="16838"/>
          <w:pgMar w:top="1361" w:right="1247" w:bottom="1361" w:left="1247" w:header="992" w:footer="833" w:gutter="0"/>
          <w:cols w:space="425" w:num="1"/>
          <w:docGrid w:type="linesAndChars" w:linePitch="312" w:charSpace="0"/>
        </w:sectPr>
      </w:pPr>
    </w:p>
    <w:p>
      <w:pPr>
        <w:pStyle w:val="131"/>
        <w:ind w:firstLine="480"/>
        <w:jc w:val="center"/>
      </w:pPr>
    </w:p>
    <w:p>
      <w:pPr>
        <w:pStyle w:val="131"/>
        <w:ind w:firstLine="0" w:firstLineChars="0"/>
        <w:jc w:val="center"/>
        <w:rPr>
          <w:b/>
          <w:sz w:val="44"/>
          <w:szCs w:val="44"/>
        </w:rPr>
      </w:pPr>
      <w:r>
        <w:rPr>
          <w:b/>
          <w:sz w:val="44"/>
          <w:szCs w:val="44"/>
        </w:rPr>
        <w:t>目录</w:t>
      </w:r>
    </w:p>
    <w:p>
      <w:pPr>
        <w:pStyle w:val="25"/>
        <w:tabs>
          <w:tab w:val="right" w:leader="dot" w:pos="9402"/>
        </w:tabs>
        <w:ind w:firstLine="0" w:firstLineChars="0"/>
        <w:rPr>
          <w:rFonts w:asciiTheme="minorHAnsi" w:hAnsiTheme="minorHAnsi" w:eastAsiaTheme="minorEastAsia" w:cstheme="minorBidi"/>
          <w:sz w:val="28"/>
          <w:szCs w:val="28"/>
        </w:rPr>
      </w:pPr>
      <w:r>
        <w:rPr>
          <w:b/>
          <w:sz w:val="44"/>
          <w:szCs w:val="44"/>
        </w:rPr>
        <w:fldChar w:fldCharType="begin"/>
      </w:r>
      <w:r>
        <w:rPr>
          <w:rFonts w:hint="eastAsia"/>
          <w:b/>
          <w:sz w:val="44"/>
          <w:szCs w:val="44"/>
        </w:rPr>
        <w:instrText xml:space="preserve">TOC \o "1-1" \h \z \u</w:instrText>
      </w:r>
      <w:r>
        <w:rPr>
          <w:b/>
          <w:sz w:val="44"/>
          <w:szCs w:val="44"/>
        </w:rPr>
        <w:fldChar w:fldCharType="separate"/>
      </w:r>
    </w:p>
    <w:p>
      <w:pPr>
        <w:pStyle w:val="25"/>
        <w:tabs>
          <w:tab w:val="right" w:leader="dot" w:pos="9402"/>
        </w:tabs>
        <w:ind w:firstLine="480"/>
        <w:rPr>
          <w:rFonts w:asciiTheme="minorHAnsi" w:hAnsiTheme="minorHAnsi" w:eastAsiaTheme="minorEastAsia" w:cstheme="minorBidi"/>
          <w:sz w:val="28"/>
          <w:szCs w:val="28"/>
        </w:rPr>
      </w:pPr>
      <w:r>
        <w:fldChar w:fldCharType="begin"/>
      </w:r>
      <w:r>
        <w:instrText xml:space="preserve"> HYPERLINK \l "_Toc68101065" </w:instrText>
      </w:r>
      <w:r>
        <w:fldChar w:fldCharType="separate"/>
      </w:r>
      <w:r>
        <w:rPr>
          <w:rStyle w:val="42"/>
          <w:rFonts w:hint="eastAsia"/>
          <w:color w:val="auto"/>
          <w:sz w:val="28"/>
          <w:szCs w:val="28"/>
        </w:rPr>
        <w:t>一、建设项目基本情况</w:t>
      </w:r>
      <w:r>
        <w:rPr>
          <w:sz w:val="28"/>
          <w:szCs w:val="28"/>
        </w:rPr>
        <w:tab/>
      </w:r>
      <w:r>
        <w:rPr>
          <w:sz w:val="28"/>
          <w:szCs w:val="28"/>
        </w:rPr>
        <w:fldChar w:fldCharType="begin"/>
      </w:r>
      <w:r>
        <w:rPr>
          <w:sz w:val="28"/>
          <w:szCs w:val="28"/>
        </w:rPr>
        <w:instrText xml:space="preserve"> PAGEREF _Toc68101065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5"/>
        <w:tabs>
          <w:tab w:val="right" w:leader="dot" w:pos="9402"/>
        </w:tabs>
        <w:ind w:firstLine="480"/>
        <w:rPr>
          <w:rFonts w:asciiTheme="minorHAnsi" w:hAnsiTheme="minorHAnsi" w:eastAsiaTheme="minorEastAsia" w:cstheme="minorBidi"/>
          <w:sz w:val="28"/>
          <w:szCs w:val="28"/>
        </w:rPr>
      </w:pPr>
      <w:r>
        <w:fldChar w:fldCharType="begin"/>
      </w:r>
      <w:r>
        <w:instrText xml:space="preserve"> HYPERLINK \l "_Toc68101066" </w:instrText>
      </w:r>
      <w:r>
        <w:fldChar w:fldCharType="separate"/>
      </w:r>
      <w:r>
        <w:rPr>
          <w:rStyle w:val="42"/>
          <w:rFonts w:hint="eastAsia"/>
          <w:color w:val="auto"/>
          <w:sz w:val="28"/>
          <w:szCs w:val="28"/>
        </w:rPr>
        <w:t>二、建设项目工程分析</w:t>
      </w:r>
      <w:r>
        <w:rPr>
          <w:sz w:val="28"/>
          <w:szCs w:val="28"/>
        </w:rPr>
        <w:tab/>
      </w:r>
      <w:r>
        <w:rPr>
          <w:sz w:val="28"/>
          <w:szCs w:val="28"/>
        </w:rPr>
        <w:fldChar w:fldCharType="begin"/>
      </w:r>
      <w:r>
        <w:rPr>
          <w:sz w:val="28"/>
          <w:szCs w:val="28"/>
        </w:rPr>
        <w:instrText xml:space="preserve"> PAGEREF _Toc68101066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25"/>
        <w:tabs>
          <w:tab w:val="right" w:leader="dot" w:pos="9402"/>
        </w:tabs>
        <w:ind w:firstLine="480"/>
        <w:rPr>
          <w:rFonts w:asciiTheme="minorHAnsi" w:hAnsiTheme="minorHAnsi" w:eastAsiaTheme="minorEastAsia" w:cstheme="minorBidi"/>
          <w:sz w:val="28"/>
          <w:szCs w:val="28"/>
        </w:rPr>
      </w:pPr>
      <w:r>
        <w:fldChar w:fldCharType="begin"/>
      </w:r>
      <w:r>
        <w:instrText xml:space="preserve"> HYPERLINK \l "_Toc68101067" </w:instrText>
      </w:r>
      <w:r>
        <w:fldChar w:fldCharType="separate"/>
      </w:r>
      <w:r>
        <w:rPr>
          <w:rStyle w:val="42"/>
          <w:rFonts w:hint="eastAsia"/>
          <w:color w:val="auto"/>
          <w:sz w:val="28"/>
          <w:szCs w:val="28"/>
        </w:rPr>
        <w:t>三、区域环境质量状况、环境保护目标及评价标准</w:t>
      </w:r>
      <w:r>
        <w:rPr>
          <w:sz w:val="28"/>
          <w:szCs w:val="28"/>
        </w:rPr>
        <w:tab/>
      </w:r>
      <w:r>
        <w:rPr>
          <w:sz w:val="28"/>
          <w:szCs w:val="28"/>
        </w:rPr>
        <w:fldChar w:fldCharType="begin"/>
      </w:r>
      <w:r>
        <w:rPr>
          <w:sz w:val="28"/>
          <w:szCs w:val="28"/>
        </w:rPr>
        <w:instrText xml:space="preserve"> PAGEREF _Toc68101067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25"/>
        <w:tabs>
          <w:tab w:val="right" w:leader="dot" w:pos="9402"/>
        </w:tabs>
        <w:ind w:firstLine="480"/>
        <w:rPr>
          <w:rFonts w:asciiTheme="minorHAnsi" w:hAnsiTheme="minorHAnsi" w:eastAsiaTheme="minorEastAsia" w:cstheme="minorBidi"/>
          <w:sz w:val="28"/>
          <w:szCs w:val="28"/>
        </w:rPr>
      </w:pPr>
      <w:r>
        <w:fldChar w:fldCharType="begin"/>
      </w:r>
      <w:r>
        <w:instrText xml:space="preserve"> HYPERLINK \l "_Toc68101068" </w:instrText>
      </w:r>
      <w:r>
        <w:fldChar w:fldCharType="separate"/>
      </w:r>
      <w:r>
        <w:rPr>
          <w:rStyle w:val="42"/>
          <w:rFonts w:hint="eastAsia"/>
          <w:color w:val="auto"/>
          <w:sz w:val="28"/>
          <w:szCs w:val="28"/>
        </w:rPr>
        <w:t>四、主要环境影响和保护措施</w:t>
      </w:r>
      <w:r>
        <w:rPr>
          <w:sz w:val="28"/>
          <w:szCs w:val="28"/>
        </w:rPr>
        <w:tab/>
      </w:r>
      <w:r>
        <w:rPr>
          <w:sz w:val="28"/>
          <w:szCs w:val="28"/>
        </w:rPr>
        <w:fldChar w:fldCharType="begin"/>
      </w:r>
      <w:r>
        <w:rPr>
          <w:sz w:val="28"/>
          <w:szCs w:val="28"/>
        </w:rPr>
        <w:instrText xml:space="preserve"> PAGEREF _Toc68101068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25"/>
        <w:tabs>
          <w:tab w:val="right" w:leader="dot" w:pos="9402"/>
        </w:tabs>
        <w:ind w:firstLine="480"/>
        <w:rPr>
          <w:rFonts w:asciiTheme="minorHAnsi" w:hAnsiTheme="minorHAnsi" w:eastAsiaTheme="minorEastAsia" w:cstheme="minorBidi"/>
          <w:sz w:val="28"/>
          <w:szCs w:val="28"/>
        </w:rPr>
      </w:pPr>
      <w:r>
        <w:fldChar w:fldCharType="begin"/>
      </w:r>
      <w:r>
        <w:instrText xml:space="preserve"> HYPERLINK \l "_Toc68101069" </w:instrText>
      </w:r>
      <w:r>
        <w:fldChar w:fldCharType="separate"/>
      </w:r>
      <w:r>
        <w:rPr>
          <w:rStyle w:val="42"/>
          <w:rFonts w:hint="eastAsia"/>
          <w:color w:val="auto"/>
          <w:sz w:val="28"/>
          <w:szCs w:val="28"/>
        </w:rPr>
        <w:t>五、环境保护措施监督检查清单</w:t>
      </w:r>
      <w:r>
        <w:rPr>
          <w:sz w:val="28"/>
          <w:szCs w:val="28"/>
        </w:rPr>
        <w:tab/>
      </w:r>
      <w:r>
        <w:rPr>
          <w:sz w:val="28"/>
          <w:szCs w:val="28"/>
        </w:rPr>
        <w:fldChar w:fldCharType="begin"/>
      </w:r>
      <w:r>
        <w:rPr>
          <w:sz w:val="28"/>
          <w:szCs w:val="28"/>
        </w:rPr>
        <w:instrText xml:space="preserve"> PAGEREF _Toc68101069 \h </w:instrText>
      </w:r>
      <w:r>
        <w:rPr>
          <w:sz w:val="28"/>
          <w:szCs w:val="28"/>
        </w:rPr>
        <w:fldChar w:fldCharType="separate"/>
      </w:r>
      <w:r>
        <w:rPr>
          <w:sz w:val="28"/>
          <w:szCs w:val="28"/>
        </w:rPr>
        <w:t>54</w:t>
      </w:r>
      <w:r>
        <w:rPr>
          <w:sz w:val="28"/>
          <w:szCs w:val="28"/>
        </w:rPr>
        <w:fldChar w:fldCharType="end"/>
      </w:r>
      <w:r>
        <w:rPr>
          <w:sz w:val="28"/>
          <w:szCs w:val="28"/>
        </w:rPr>
        <w:fldChar w:fldCharType="end"/>
      </w:r>
    </w:p>
    <w:p>
      <w:pPr>
        <w:pStyle w:val="25"/>
        <w:tabs>
          <w:tab w:val="right" w:leader="dot" w:pos="9402"/>
        </w:tabs>
        <w:ind w:firstLine="480"/>
        <w:rPr>
          <w:rFonts w:asciiTheme="minorHAnsi" w:hAnsiTheme="minorHAnsi" w:eastAsiaTheme="minorEastAsia" w:cstheme="minorBidi"/>
          <w:sz w:val="21"/>
          <w:szCs w:val="22"/>
        </w:rPr>
      </w:pPr>
      <w:r>
        <w:fldChar w:fldCharType="begin"/>
      </w:r>
      <w:r>
        <w:instrText xml:space="preserve"> HYPERLINK \l "_Toc68101070" </w:instrText>
      </w:r>
      <w:r>
        <w:fldChar w:fldCharType="separate"/>
      </w:r>
      <w:r>
        <w:rPr>
          <w:rStyle w:val="42"/>
          <w:rFonts w:hint="eastAsia"/>
          <w:color w:val="auto"/>
          <w:sz w:val="28"/>
          <w:szCs w:val="28"/>
        </w:rPr>
        <w:t>六、结论</w:t>
      </w:r>
      <w:r>
        <w:rPr>
          <w:sz w:val="28"/>
          <w:szCs w:val="28"/>
        </w:rPr>
        <w:tab/>
      </w:r>
      <w:r>
        <w:rPr>
          <w:sz w:val="28"/>
          <w:szCs w:val="28"/>
        </w:rPr>
        <w:fldChar w:fldCharType="begin"/>
      </w:r>
      <w:r>
        <w:rPr>
          <w:sz w:val="28"/>
          <w:szCs w:val="28"/>
        </w:rPr>
        <w:instrText xml:space="preserve"> PAGEREF _Toc68101070 \h </w:instrText>
      </w:r>
      <w:r>
        <w:rPr>
          <w:sz w:val="28"/>
          <w:szCs w:val="28"/>
        </w:rPr>
        <w:fldChar w:fldCharType="separate"/>
      </w:r>
      <w:r>
        <w:rPr>
          <w:sz w:val="28"/>
          <w:szCs w:val="28"/>
        </w:rPr>
        <w:t>56</w:t>
      </w:r>
      <w:r>
        <w:rPr>
          <w:sz w:val="28"/>
          <w:szCs w:val="28"/>
        </w:rPr>
        <w:fldChar w:fldCharType="end"/>
      </w:r>
      <w:r>
        <w:rPr>
          <w:sz w:val="28"/>
          <w:szCs w:val="28"/>
        </w:rPr>
        <w:fldChar w:fldCharType="end"/>
      </w:r>
    </w:p>
    <w:p>
      <w:pPr>
        <w:pStyle w:val="131"/>
        <w:ind w:firstLine="0" w:firstLineChars="0"/>
        <w:jc w:val="left"/>
        <w:rPr>
          <w:b/>
          <w:sz w:val="44"/>
          <w:szCs w:val="44"/>
        </w:rPr>
      </w:pPr>
      <w:r>
        <w:rPr>
          <w:b/>
          <w:sz w:val="44"/>
          <w:szCs w:val="44"/>
        </w:rPr>
        <w:fldChar w:fldCharType="end"/>
      </w:r>
    </w:p>
    <w:p>
      <w:pPr>
        <w:pStyle w:val="131"/>
        <w:ind w:firstLine="0" w:firstLineChars="0"/>
        <w:jc w:val="left"/>
        <w:rPr>
          <w:szCs w:val="24"/>
        </w:rPr>
      </w:pPr>
      <w:r>
        <w:rPr>
          <w:rFonts w:hint="eastAsia"/>
          <w:b/>
          <w:szCs w:val="24"/>
        </w:rPr>
        <w:t>附表：</w:t>
      </w:r>
      <w:r>
        <w:rPr>
          <w:rFonts w:hint="eastAsia"/>
          <w:szCs w:val="24"/>
        </w:rPr>
        <w:t>建设项目污染物排放量汇总表</w:t>
      </w:r>
    </w:p>
    <w:p>
      <w:pPr>
        <w:pStyle w:val="131"/>
        <w:ind w:firstLine="0" w:firstLineChars="0"/>
        <w:jc w:val="left"/>
        <w:rPr>
          <w:b/>
          <w:kern w:val="0"/>
          <w:szCs w:val="24"/>
        </w:rPr>
      </w:pPr>
    </w:p>
    <w:p>
      <w:pPr>
        <w:pStyle w:val="131"/>
        <w:ind w:firstLine="0" w:firstLineChars="0"/>
        <w:jc w:val="left"/>
        <w:rPr>
          <w:b/>
          <w:kern w:val="0"/>
          <w:szCs w:val="24"/>
        </w:rPr>
      </w:pPr>
      <w:r>
        <w:rPr>
          <w:rFonts w:hint="eastAsia"/>
          <w:b/>
          <w:kern w:val="0"/>
          <w:szCs w:val="24"/>
        </w:rPr>
        <w:t>附件</w:t>
      </w:r>
    </w:p>
    <w:p>
      <w:pPr>
        <w:ind w:firstLine="480"/>
      </w:pPr>
      <w:r>
        <w:rPr>
          <w:rFonts w:hint="eastAsia"/>
        </w:rPr>
        <w:t>附件1：委托书；</w:t>
      </w:r>
    </w:p>
    <w:p>
      <w:pPr>
        <w:ind w:firstLine="480"/>
      </w:pPr>
      <w:r>
        <w:rPr>
          <w:rFonts w:hint="eastAsia"/>
        </w:rPr>
        <w:t>附件2：医疗废物处置合同；</w:t>
      </w:r>
    </w:p>
    <w:p>
      <w:pPr>
        <w:ind w:firstLine="480"/>
      </w:pPr>
      <w:r>
        <w:rPr>
          <w:rFonts w:hint="eastAsia"/>
        </w:rPr>
        <w:t>附件3：开放床位报告；</w:t>
      </w:r>
    </w:p>
    <w:p>
      <w:pPr>
        <w:ind w:firstLine="480"/>
      </w:pPr>
      <w:r>
        <w:rPr>
          <w:rFonts w:hint="eastAsia"/>
        </w:rPr>
        <w:t>附件4：事业单位法人证书；</w:t>
      </w:r>
    </w:p>
    <w:p>
      <w:pPr>
        <w:ind w:firstLine="480"/>
      </w:pPr>
      <w:r>
        <w:rPr>
          <w:rFonts w:hint="eastAsia"/>
        </w:rPr>
        <w:t>附件5：专家审核意见；</w:t>
      </w:r>
    </w:p>
    <w:p>
      <w:pPr>
        <w:ind w:firstLine="480"/>
      </w:pPr>
      <w:r>
        <w:rPr>
          <w:rFonts w:hint="eastAsia"/>
        </w:rPr>
        <w:t>附件6：专家签字页；</w:t>
      </w:r>
    </w:p>
    <w:p>
      <w:pPr>
        <w:ind w:firstLine="480"/>
      </w:pPr>
      <w:r>
        <w:rPr>
          <w:rFonts w:hint="eastAsia"/>
        </w:rPr>
        <w:t>附件7：修改对照表；</w:t>
      </w:r>
    </w:p>
    <w:p>
      <w:pPr>
        <w:ind w:firstLine="0" w:firstLineChars="0"/>
        <w:rPr>
          <w:b/>
          <w:szCs w:val="24"/>
        </w:rPr>
      </w:pPr>
    </w:p>
    <w:p>
      <w:pPr>
        <w:ind w:firstLine="0" w:firstLineChars="0"/>
        <w:rPr>
          <w:b/>
          <w:szCs w:val="24"/>
        </w:rPr>
      </w:pPr>
      <w:r>
        <w:rPr>
          <w:rFonts w:hint="eastAsia"/>
          <w:b/>
          <w:szCs w:val="24"/>
        </w:rPr>
        <w:t>附图</w:t>
      </w:r>
    </w:p>
    <w:p>
      <w:pPr>
        <w:ind w:firstLine="480"/>
        <w:rPr>
          <w:szCs w:val="24"/>
        </w:rPr>
      </w:pPr>
      <w:r>
        <w:rPr>
          <w:rFonts w:hint="eastAsia"/>
          <w:szCs w:val="24"/>
        </w:rPr>
        <w:t>附图1：项目地理位置图；</w:t>
      </w:r>
    </w:p>
    <w:p>
      <w:pPr>
        <w:ind w:firstLine="480"/>
        <w:rPr>
          <w:szCs w:val="24"/>
        </w:rPr>
      </w:pPr>
      <w:r>
        <w:rPr>
          <w:rFonts w:hint="eastAsia"/>
          <w:szCs w:val="24"/>
        </w:rPr>
        <w:t>附图2：项目总平面布置图；</w:t>
      </w:r>
    </w:p>
    <w:p>
      <w:pPr>
        <w:ind w:firstLine="480"/>
        <w:rPr>
          <w:szCs w:val="24"/>
        </w:rPr>
      </w:pPr>
      <w:r>
        <w:rPr>
          <w:rFonts w:hint="eastAsia"/>
          <w:szCs w:val="24"/>
        </w:rPr>
        <w:t>附图3：项目周边关系示意图；</w:t>
      </w:r>
    </w:p>
    <w:p>
      <w:pPr>
        <w:ind w:firstLine="480"/>
        <w:rPr>
          <w:szCs w:val="24"/>
        </w:rPr>
      </w:pPr>
      <w:r>
        <w:rPr>
          <w:rFonts w:hint="eastAsia"/>
          <w:szCs w:val="24"/>
        </w:rPr>
        <w:t>附图4：项目区水系图。</w:t>
      </w:r>
    </w:p>
    <w:p>
      <w:pPr>
        <w:ind w:firstLine="199" w:firstLineChars="83"/>
        <w:rPr>
          <w:rFonts w:cs="Times New Roman" w:asciiTheme="minorEastAsia" w:hAnsiTheme="minorEastAsia"/>
          <w:szCs w:val="20"/>
        </w:rPr>
        <w:sectPr>
          <w:headerReference r:id="rId11" w:type="default"/>
          <w:footerReference r:id="rId12" w:type="default"/>
          <w:pgSz w:w="11906" w:h="16838"/>
          <w:pgMar w:top="1361" w:right="1247" w:bottom="1361" w:left="1247" w:header="992" w:footer="833" w:gutter="0"/>
          <w:cols w:space="425" w:num="1"/>
          <w:docGrid w:type="linesAndChars" w:linePitch="312" w:charSpace="0"/>
        </w:sectPr>
      </w:pPr>
    </w:p>
    <w:p>
      <w:pPr>
        <w:pStyle w:val="4"/>
      </w:pPr>
      <w:bookmarkStart w:id="1" w:name="_Toc68101065"/>
      <w:bookmarkStart w:id="2" w:name="_Toc458883638"/>
      <w:bookmarkStart w:id="3" w:name="_Toc376855812"/>
      <w:r>
        <w:t>一、建设项目基本情况</w:t>
      </w:r>
      <w:bookmarkEnd w:id="1"/>
      <w:bookmarkEnd w:id="2"/>
      <w:bookmarkEnd w:id="3"/>
    </w:p>
    <w:tbl>
      <w:tblPr>
        <w:tblStyle w:val="36"/>
        <w:tblW w:w="95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90"/>
        <w:gridCol w:w="1775"/>
        <w:gridCol w:w="847"/>
        <w:gridCol w:w="1279"/>
        <w:gridCol w:w="670"/>
        <w:gridCol w:w="2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500" w:lineRule="exact"/>
              <w:ind w:firstLine="0" w:firstLineChars="0"/>
              <w:jc w:val="center"/>
              <w:rPr>
                <w:rFonts w:cs="Times New Roman" w:asciiTheme="minorEastAsia" w:hAnsiTheme="minorEastAsia"/>
                <w:b/>
                <w:szCs w:val="24"/>
              </w:rPr>
            </w:pPr>
            <w:r>
              <w:rPr>
                <w:rFonts w:cs="Times New Roman" w:asciiTheme="minorEastAsia" w:hAnsiTheme="minorEastAsia"/>
                <w:b/>
                <w:szCs w:val="24"/>
              </w:rPr>
              <w:t>项目名称</w:t>
            </w:r>
          </w:p>
        </w:tc>
        <w:tc>
          <w:tcPr>
            <w:tcW w:w="7130" w:type="dxa"/>
            <w:gridSpan w:val="5"/>
            <w:vAlign w:val="center"/>
          </w:tcPr>
          <w:p>
            <w:pPr>
              <w:spacing w:line="500" w:lineRule="exact"/>
              <w:ind w:firstLine="0" w:firstLineChars="0"/>
              <w:jc w:val="center"/>
              <w:rPr>
                <w:rFonts w:cs="Times New Roman" w:asciiTheme="minorEastAsia" w:hAnsiTheme="minorEastAsia"/>
                <w:szCs w:val="24"/>
              </w:rPr>
            </w:pPr>
            <w:r>
              <w:rPr>
                <w:rFonts w:hint="eastAsia" w:cs="Times New Roman" w:asciiTheme="minorEastAsia" w:hAnsiTheme="minorEastAsia"/>
                <w:szCs w:val="24"/>
              </w:rPr>
              <w:t>姚安县龙岗卫生院建设项目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500" w:lineRule="exact"/>
              <w:ind w:firstLine="0" w:firstLineChars="0"/>
              <w:jc w:val="center"/>
              <w:rPr>
                <w:rFonts w:cs="Times New Roman" w:asciiTheme="minorEastAsia" w:hAnsiTheme="minorEastAsia"/>
                <w:b/>
                <w:szCs w:val="24"/>
              </w:rPr>
            </w:pPr>
            <w:r>
              <w:rPr>
                <w:rFonts w:hint="eastAsia" w:cs="Times New Roman" w:asciiTheme="minorEastAsia" w:hAnsiTheme="minorEastAsia"/>
                <w:b/>
                <w:szCs w:val="24"/>
              </w:rPr>
              <w:t>项目代码</w:t>
            </w:r>
          </w:p>
        </w:tc>
        <w:tc>
          <w:tcPr>
            <w:tcW w:w="7130" w:type="dxa"/>
            <w:gridSpan w:val="5"/>
            <w:vAlign w:val="center"/>
          </w:tcPr>
          <w:p>
            <w:pPr>
              <w:spacing w:line="500" w:lineRule="exact"/>
              <w:ind w:firstLine="0" w:firstLineChars="0"/>
              <w:jc w:val="center"/>
              <w:rPr>
                <w:rFonts w:cs="Times New Roman" w:asciiTheme="minorEastAsia" w:hAnsiTheme="minorEastAsia"/>
                <w:szCs w:val="20"/>
              </w:rPr>
            </w:pPr>
            <w:r>
              <w:rPr>
                <w:rFonts w:hint="eastAsia" w:cs="Times New Roman" w:asciiTheme="minorEastAsia" w:hAnsiTheme="minorEastAsia"/>
                <w:szCs w:val="20"/>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500" w:lineRule="exact"/>
              <w:ind w:firstLine="0" w:firstLineChars="0"/>
              <w:jc w:val="center"/>
              <w:rPr>
                <w:rFonts w:cs="Times New Roman" w:asciiTheme="minorEastAsia" w:hAnsiTheme="minorEastAsia"/>
                <w:b/>
                <w:szCs w:val="24"/>
              </w:rPr>
            </w:pPr>
            <w:r>
              <w:rPr>
                <w:rFonts w:hint="eastAsia" w:cs="Times New Roman" w:asciiTheme="minorEastAsia" w:hAnsiTheme="minorEastAsia"/>
                <w:b/>
                <w:szCs w:val="24"/>
              </w:rPr>
              <w:t>建设单位联系人</w:t>
            </w:r>
          </w:p>
        </w:tc>
        <w:tc>
          <w:tcPr>
            <w:tcW w:w="2622" w:type="dxa"/>
            <w:gridSpan w:val="2"/>
            <w:vAlign w:val="center"/>
          </w:tcPr>
          <w:p>
            <w:pPr>
              <w:spacing w:line="500" w:lineRule="exact"/>
              <w:ind w:firstLine="0" w:firstLineChars="0"/>
              <w:jc w:val="center"/>
              <w:rPr>
                <w:rFonts w:cs="Times New Roman" w:asciiTheme="minorEastAsia" w:hAnsiTheme="minorEastAsia"/>
                <w:szCs w:val="24"/>
              </w:rPr>
            </w:pPr>
            <w:r>
              <w:rPr>
                <w:rFonts w:hint="eastAsia" w:cs="Times New Roman" w:asciiTheme="minorEastAsia" w:hAnsiTheme="minorEastAsia"/>
                <w:szCs w:val="24"/>
              </w:rPr>
              <w:t>李云凤</w:t>
            </w:r>
          </w:p>
        </w:tc>
        <w:tc>
          <w:tcPr>
            <w:tcW w:w="1949" w:type="dxa"/>
            <w:gridSpan w:val="2"/>
            <w:vAlign w:val="center"/>
          </w:tcPr>
          <w:p>
            <w:pPr>
              <w:spacing w:line="500" w:lineRule="exact"/>
              <w:ind w:firstLine="0" w:firstLineChars="0"/>
              <w:jc w:val="center"/>
              <w:rPr>
                <w:rFonts w:cs="Times New Roman" w:asciiTheme="minorEastAsia" w:hAnsiTheme="minorEastAsia"/>
                <w:b/>
                <w:szCs w:val="24"/>
              </w:rPr>
            </w:pPr>
            <w:r>
              <w:rPr>
                <w:rFonts w:hint="eastAsia" w:cs="Times New Roman" w:asciiTheme="minorEastAsia" w:hAnsiTheme="minorEastAsia"/>
                <w:b/>
                <w:szCs w:val="24"/>
              </w:rPr>
              <w:t>联系方式</w:t>
            </w:r>
          </w:p>
        </w:tc>
        <w:tc>
          <w:tcPr>
            <w:tcW w:w="2559" w:type="dxa"/>
            <w:vAlign w:val="center"/>
          </w:tcPr>
          <w:p>
            <w:pPr>
              <w:spacing w:line="500" w:lineRule="exact"/>
              <w:ind w:firstLine="0" w:firstLineChars="0"/>
              <w:jc w:val="center"/>
              <w:rPr>
                <w:rFonts w:cs="Times New Roman"/>
                <w:szCs w:val="24"/>
              </w:rPr>
            </w:pPr>
            <w:r>
              <w:rPr>
                <w:rFonts w:hint="eastAsia" w:cs="Times New Roman"/>
                <w:szCs w:val="24"/>
              </w:rPr>
              <w:t>15891819881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500" w:lineRule="exact"/>
              <w:ind w:firstLine="0" w:firstLineChars="0"/>
              <w:jc w:val="center"/>
              <w:rPr>
                <w:rFonts w:cs="Times New Roman" w:asciiTheme="minorEastAsia" w:hAnsiTheme="minorEastAsia"/>
                <w:b/>
                <w:szCs w:val="24"/>
              </w:rPr>
            </w:pPr>
            <w:r>
              <w:rPr>
                <w:rFonts w:cs="Times New Roman" w:asciiTheme="minorEastAsia" w:hAnsiTheme="minorEastAsia"/>
                <w:b/>
                <w:szCs w:val="24"/>
              </w:rPr>
              <w:t>建设地点</w:t>
            </w:r>
          </w:p>
        </w:tc>
        <w:tc>
          <w:tcPr>
            <w:tcW w:w="7130" w:type="dxa"/>
            <w:gridSpan w:val="5"/>
            <w:vAlign w:val="center"/>
          </w:tcPr>
          <w:p>
            <w:pPr>
              <w:spacing w:line="500" w:lineRule="exact"/>
              <w:ind w:firstLine="0" w:firstLineChars="0"/>
              <w:jc w:val="center"/>
              <w:rPr>
                <w:rFonts w:cs="Times New Roman" w:asciiTheme="minorEastAsia" w:hAnsiTheme="minorEastAsia"/>
                <w:szCs w:val="24"/>
              </w:rPr>
            </w:pPr>
            <w:r>
              <w:rPr>
                <w:rFonts w:ascii="宋体" w:hAnsi="宋体" w:cs="宋体"/>
                <w:szCs w:val="21"/>
                <w:u w:val="single"/>
              </w:rPr>
              <w:t xml:space="preserve"> </w:t>
            </w:r>
            <w:r>
              <w:rPr>
                <w:rFonts w:hint="eastAsia" w:ascii="宋体" w:hAnsi="宋体" w:cs="宋体"/>
                <w:szCs w:val="21"/>
                <w:u w:val="single"/>
              </w:rPr>
              <w:t>云南</w:t>
            </w:r>
            <w:r>
              <w:rPr>
                <w:rFonts w:ascii="宋体" w:hAnsi="宋体" w:cs="宋体"/>
                <w:szCs w:val="21"/>
                <w:u w:val="single"/>
              </w:rPr>
              <w:t xml:space="preserve"> </w:t>
            </w:r>
            <w:r>
              <w:rPr>
                <w:rFonts w:hint="eastAsia" w:ascii="宋体" w:hAnsi="宋体" w:cs="宋体"/>
                <w:szCs w:val="21"/>
              </w:rPr>
              <w:t>省</w:t>
            </w:r>
            <w:r>
              <w:rPr>
                <w:rFonts w:ascii="宋体" w:hAnsi="宋体" w:cs="宋体"/>
                <w:szCs w:val="21"/>
                <w:u w:val="single"/>
              </w:rPr>
              <w:t xml:space="preserve"> </w:t>
            </w:r>
            <w:r>
              <w:rPr>
                <w:rFonts w:hint="eastAsia" w:ascii="宋体" w:hAnsi="宋体" w:cs="宋体"/>
                <w:szCs w:val="21"/>
                <w:u w:val="single"/>
              </w:rPr>
              <w:t>楚雄</w:t>
            </w:r>
            <w:r>
              <w:rPr>
                <w:rFonts w:ascii="宋体" w:hAnsi="宋体" w:cs="宋体"/>
                <w:szCs w:val="21"/>
                <w:u w:val="single"/>
              </w:rPr>
              <w:t xml:space="preserve"> </w:t>
            </w:r>
            <w:r>
              <w:rPr>
                <w:rFonts w:hint="eastAsia" w:ascii="宋体" w:hAnsi="宋体" w:cs="宋体"/>
                <w:szCs w:val="21"/>
              </w:rPr>
              <w:t>州</w:t>
            </w:r>
            <w:r>
              <w:rPr>
                <w:rFonts w:ascii="宋体" w:hAnsi="宋体" w:cs="宋体"/>
                <w:szCs w:val="21"/>
                <w:u w:val="single"/>
              </w:rPr>
              <w:t xml:space="preserve"> </w:t>
            </w:r>
            <w:r>
              <w:rPr>
                <w:rFonts w:hint="eastAsia" w:ascii="宋体" w:hAnsi="宋体" w:cs="宋体"/>
                <w:szCs w:val="21"/>
                <w:u w:val="single"/>
              </w:rPr>
              <w:t>姚安</w:t>
            </w:r>
            <w:r>
              <w:rPr>
                <w:rFonts w:ascii="宋体" w:hAnsi="宋体" w:cs="宋体"/>
                <w:szCs w:val="21"/>
                <w:u w:val="single"/>
              </w:rPr>
              <w:t xml:space="preserve"> </w:t>
            </w:r>
            <w:r>
              <w:rPr>
                <w:rFonts w:hint="eastAsia" w:ascii="宋体" w:hAnsi="宋体" w:cs="宋体"/>
                <w:szCs w:val="21"/>
              </w:rPr>
              <w:t>县</w:t>
            </w:r>
            <w:r>
              <w:rPr>
                <w:rFonts w:ascii="宋体" w:hAnsi="宋体" w:cs="宋体"/>
                <w:szCs w:val="21"/>
                <w:u w:val="single"/>
              </w:rPr>
              <w:t xml:space="preserve"> </w:t>
            </w:r>
            <w:r>
              <w:rPr>
                <w:rFonts w:hint="eastAsia" w:ascii="宋体" w:hAnsi="宋体" w:cs="宋体"/>
                <w:szCs w:val="21"/>
                <w:u w:val="single"/>
              </w:rPr>
              <w:t>栋川</w:t>
            </w:r>
            <w:r>
              <w:rPr>
                <w:rFonts w:ascii="宋体" w:hAnsi="宋体" w:cs="宋体"/>
                <w:szCs w:val="21"/>
                <w:u w:val="single"/>
              </w:rPr>
              <w:t xml:space="preserve"> </w:t>
            </w:r>
            <w:r>
              <w:rPr>
                <w:rFonts w:hint="eastAsia" w:ascii="宋体" w:hAnsi="宋体" w:cs="宋体"/>
                <w:szCs w:val="21"/>
              </w:rPr>
              <w:t>镇</w:t>
            </w:r>
            <w:r>
              <w:rPr>
                <w:rFonts w:ascii="宋体" w:hAnsi="宋体" w:cs="宋体"/>
                <w:szCs w:val="21"/>
                <w:u w:val="single"/>
              </w:rPr>
              <w:t xml:space="preserve"> </w:t>
            </w:r>
            <w:r>
              <w:rPr>
                <w:rFonts w:hint="eastAsia" w:ascii="宋体" w:hAnsi="宋体" w:cs="宋体"/>
                <w:szCs w:val="21"/>
                <w:u w:val="single"/>
              </w:rPr>
              <w:t xml:space="preserve">下新屯村委会姚安县龙岗卫生院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500" w:lineRule="exact"/>
              <w:ind w:firstLine="0" w:firstLineChars="0"/>
              <w:jc w:val="center"/>
              <w:rPr>
                <w:rFonts w:cs="Times New Roman" w:asciiTheme="minorEastAsia" w:hAnsiTheme="minorEastAsia"/>
                <w:b/>
                <w:szCs w:val="24"/>
              </w:rPr>
            </w:pPr>
            <w:r>
              <w:rPr>
                <w:rFonts w:hint="eastAsia" w:cs="Times New Roman" w:asciiTheme="minorEastAsia" w:hAnsiTheme="minorEastAsia"/>
                <w:b/>
                <w:szCs w:val="24"/>
              </w:rPr>
              <w:t>地理坐标</w:t>
            </w:r>
          </w:p>
        </w:tc>
        <w:tc>
          <w:tcPr>
            <w:tcW w:w="7130" w:type="dxa"/>
            <w:gridSpan w:val="5"/>
            <w:vAlign w:val="center"/>
          </w:tcPr>
          <w:p>
            <w:pPr>
              <w:spacing w:line="500" w:lineRule="exact"/>
              <w:ind w:firstLine="0" w:firstLineChars="0"/>
              <w:jc w:val="center"/>
              <w:rPr>
                <w:rFonts w:ascii="宋体" w:hAnsi="宋体" w:cs="宋体"/>
                <w:szCs w:val="21"/>
                <w:u w:val="single"/>
              </w:rPr>
            </w:pPr>
            <w:r>
              <w:rPr>
                <w:rFonts w:hint="eastAsia" w:ascii="宋体" w:hAnsi="宋体" w:cs="宋体"/>
                <w:szCs w:val="21"/>
              </w:rPr>
              <w:t>（</w:t>
            </w:r>
            <w:r>
              <w:rPr>
                <w:rFonts w:ascii="宋体" w:hAnsi="宋体" w:cs="宋体"/>
                <w:szCs w:val="21"/>
                <w:u w:val="single"/>
              </w:rPr>
              <w:t xml:space="preserve"> </w:t>
            </w:r>
            <w:r>
              <w:rPr>
                <w:rFonts w:cs="Times New Roman"/>
                <w:szCs w:val="21"/>
                <w:u w:val="single"/>
              </w:rPr>
              <w:t xml:space="preserve">101 </w:t>
            </w:r>
            <w:r>
              <w:rPr>
                <w:rFonts w:cs="Times New Roman"/>
                <w:szCs w:val="21"/>
              </w:rPr>
              <w:t>度</w:t>
            </w:r>
            <w:r>
              <w:rPr>
                <w:rFonts w:cs="Times New Roman"/>
                <w:szCs w:val="21"/>
                <w:u w:val="single"/>
              </w:rPr>
              <w:t xml:space="preserve"> 1</w:t>
            </w:r>
            <w:r>
              <w:rPr>
                <w:rFonts w:hint="eastAsia" w:cs="Times New Roman"/>
                <w:szCs w:val="21"/>
                <w:u w:val="single"/>
              </w:rPr>
              <w:t>3</w:t>
            </w:r>
            <w:r>
              <w:rPr>
                <w:rFonts w:cs="Times New Roman"/>
                <w:szCs w:val="21"/>
                <w:u w:val="single"/>
              </w:rPr>
              <w:t xml:space="preserve"> </w:t>
            </w:r>
            <w:r>
              <w:rPr>
                <w:rFonts w:cs="Times New Roman"/>
                <w:szCs w:val="21"/>
              </w:rPr>
              <w:t>分</w:t>
            </w:r>
            <w:r>
              <w:rPr>
                <w:rFonts w:cs="Times New Roman"/>
                <w:szCs w:val="21"/>
                <w:u w:val="single"/>
              </w:rPr>
              <w:t xml:space="preserve"> 2</w:t>
            </w:r>
            <w:r>
              <w:rPr>
                <w:rFonts w:hint="eastAsia" w:cs="Times New Roman"/>
                <w:szCs w:val="21"/>
                <w:u w:val="single"/>
              </w:rPr>
              <w:t>9.49</w:t>
            </w:r>
            <w:r>
              <w:rPr>
                <w:rFonts w:cs="Times New Roman"/>
                <w:szCs w:val="21"/>
                <w:u w:val="single"/>
              </w:rPr>
              <w:t xml:space="preserve"> </w:t>
            </w:r>
            <w:r>
              <w:rPr>
                <w:rFonts w:cs="Times New Roman"/>
                <w:szCs w:val="21"/>
              </w:rPr>
              <w:t>秒，</w:t>
            </w:r>
            <w:r>
              <w:rPr>
                <w:rFonts w:cs="Times New Roman"/>
                <w:szCs w:val="21"/>
                <w:u w:val="single"/>
              </w:rPr>
              <w:t xml:space="preserve"> 25 </w:t>
            </w:r>
            <w:r>
              <w:rPr>
                <w:rFonts w:cs="Times New Roman"/>
                <w:szCs w:val="21"/>
              </w:rPr>
              <w:t>度</w:t>
            </w:r>
            <w:r>
              <w:rPr>
                <w:rFonts w:cs="Times New Roman"/>
                <w:szCs w:val="21"/>
                <w:u w:val="single"/>
              </w:rPr>
              <w:t xml:space="preserve"> </w:t>
            </w:r>
            <w:r>
              <w:rPr>
                <w:rFonts w:hint="eastAsia" w:cs="Times New Roman"/>
                <w:szCs w:val="21"/>
                <w:u w:val="single"/>
              </w:rPr>
              <w:t>32</w:t>
            </w:r>
            <w:r>
              <w:rPr>
                <w:rFonts w:cs="Times New Roman"/>
                <w:szCs w:val="21"/>
                <w:u w:val="single"/>
              </w:rPr>
              <w:t xml:space="preserve"> </w:t>
            </w:r>
            <w:r>
              <w:rPr>
                <w:rFonts w:cs="Times New Roman"/>
                <w:szCs w:val="21"/>
              </w:rPr>
              <w:t>分</w:t>
            </w:r>
            <w:r>
              <w:rPr>
                <w:rFonts w:cs="Times New Roman"/>
                <w:szCs w:val="21"/>
                <w:u w:val="single"/>
              </w:rPr>
              <w:t xml:space="preserve"> </w:t>
            </w:r>
            <w:r>
              <w:rPr>
                <w:rFonts w:hint="eastAsia" w:cs="Times New Roman"/>
                <w:szCs w:val="21"/>
                <w:u w:val="single"/>
              </w:rPr>
              <w:t>0.77</w:t>
            </w:r>
            <w:r>
              <w:rPr>
                <w:rFonts w:cs="Times New Roman"/>
                <w:szCs w:val="21"/>
                <w:u w:val="single"/>
              </w:rPr>
              <w:t xml:space="preserve"> </w:t>
            </w:r>
            <w:r>
              <w:rPr>
                <w:rFonts w:hint="eastAsia" w:ascii="宋体" w:hAnsi="宋体" w:cs="宋体"/>
                <w:szCs w:val="21"/>
              </w:rPr>
              <w:t>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240" w:lineRule="auto"/>
              <w:ind w:firstLine="0" w:firstLineChars="0"/>
              <w:jc w:val="center"/>
              <w:rPr>
                <w:rFonts w:cs="Times New Roman" w:asciiTheme="minorEastAsia" w:hAnsiTheme="minorEastAsia"/>
                <w:b/>
                <w:szCs w:val="24"/>
              </w:rPr>
            </w:pPr>
            <w:r>
              <w:rPr>
                <w:rFonts w:hint="eastAsia" w:cs="Times New Roman" w:asciiTheme="minorEastAsia" w:hAnsiTheme="minorEastAsia"/>
                <w:b/>
                <w:szCs w:val="24"/>
              </w:rPr>
              <w:t>国民经济</w:t>
            </w:r>
          </w:p>
          <w:p>
            <w:pPr>
              <w:spacing w:line="240" w:lineRule="auto"/>
              <w:ind w:firstLine="0" w:firstLineChars="0"/>
              <w:jc w:val="center"/>
              <w:rPr>
                <w:rFonts w:cs="Times New Roman" w:asciiTheme="minorEastAsia" w:hAnsiTheme="minorEastAsia"/>
                <w:b/>
                <w:szCs w:val="24"/>
              </w:rPr>
            </w:pPr>
            <w:r>
              <w:rPr>
                <w:rFonts w:hint="eastAsia" w:cs="Times New Roman" w:asciiTheme="minorEastAsia" w:hAnsiTheme="minorEastAsia"/>
                <w:b/>
                <w:szCs w:val="24"/>
              </w:rPr>
              <w:t>行业类别</w:t>
            </w:r>
          </w:p>
        </w:tc>
        <w:tc>
          <w:tcPr>
            <w:tcW w:w="1775" w:type="dxa"/>
            <w:vAlign w:val="center"/>
          </w:tcPr>
          <w:p>
            <w:pPr>
              <w:spacing w:line="240" w:lineRule="auto"/>
              <w:ind w:firstLine="0" w:firstLineChars="0"/>
              <w:jc w:val="center"/>
              <w:rPr>
                <w:rFonts w:cs="Times New Roman" w:asciiTheme="minorEastAsia" w:hAnsiTheme="minorEastAsia"/>
                <w:szCs w:val="24"/>
              </w:rPr>
            </w:pPr>
            <w:r>
              <w:rPr>
                <w:rFonts w:hint="eastAsia" w:cs="Times New Roman" w:asciiTheme="minorEastAsia" w:hAnsiTheme="minorEastAsia"/>
                <w:szCs w:val="24"/>
              </w:rPr>
              <w:t>专科疾病防治院（所、站）（</w:t>
            </w:r>
            <w:r>
              <w:rPr>
                <w:rFonts w:cs="Times New Roman"/>
                <w:szCs w:val="24"/>
              </w:rPr>
              <w:t>Q84</w:t>
            </w:r>
            <w:r>
              <w:rPr>
                <w:rFonts w:hint="eastAsia" w:cs="Times New Roman"/>
                <w:szCs w:val="24"/>
              </w:rPr>
              <w:t>32</w:t>
            </w:r>
            <w:r>
              <w:rPr>
                <w:rFonts w:hint="eastAsia" w:cs="Times New Roman" w:asciiTheme="minorEastAsia" w:hAnsiTheme="minorEastAsia"/>
                <w:szCs w:val="24"/>
              </w:rPr>
              <w:t>）</w:t>
            </w:r>
          </w:p>
        </w:tc>
        <w:tc>
          <w:tcPr>
            <w:tcW w:w="2126" w:type="dxa"/>
            <w:gridSpan w:val="2"/>
            <w:vAlign w:val="center"/>
          </w:tcPr>
          <w:p>
            <w:pPr>
              <w:spacing w:line="240" w:lineRule="auto"/>
              <w:ind w:firstLine="0" w:firstLineChars="0"/>
              <w:jc w:val="center"/>
              <w:rPr>
                <w:rFonts w:cs="Times New Roman" w:asciiTheme="minorEastAsia" w:hAnsiTheme="minorEastAsia"/>
                <w:b/>
                <w:szCs w:val="24"/>
              </w:rPr>
            </w:pPr>
            <w:r>
              <w:rPr>
                <w:rFonts w:hint="eastAsia" w:cs="Times New Roman" w:asciiTheme="minorEastAsia" w:hAnsiTheme="minorEastAsia"/>
                <w:b/>
                <w:szCs w:val="24"/>
              </w:rPr>
              <w:t>建设项目</w:t>
            </w:r>
          </w:p>
          <w:p>
            <w:pPr>
              <w:spacing w:line="240" w:lineRule="auto"/>
              <w:ind w:firstLine="0" w:firstLineChars="0"/>
              <w:jc w:val="center"/>
              <w:rPr>
                <w:rFonts w:cs="Times New Roman" w:asciiTheme="minorEastAsia" w:hAnsiTheme="minorEastAsia"/>
                <w:b/>
                <w:szCs w:val="24"/>
              </w:rPr>
            </w:pPr>
            <w:r>
              <w:rPr>
                <w:rFonts w:hint="eastAsia" w:cs="Times New Roman" w:asciiTheme="minorEastAsia" w:hAnsiTheme="minorEastAsia"/>
                <w:b/>
                <w:szCs w:val="24"/>
              </w:rPr>
              <w:t>行业类别</w:t>
            </w:r>
          </w:p>
        </w:tc>
        <w:tc>
          <w:tcPr>
            <w:tcW w:w="3229" w:type="dxa"/>
            <w:gridSpan w:val="2"/>
            <w:vAlign w:val="center"/>
          </w:tcPr>
          <w:p>
            <w:pPr>
              <w:pStyle w:val="146"/>
              <w:spacing w:line="240" w:lineRule="auto"/>
              <w:rPr>
                <w:sz w:val="24"/>
                <w:szCs w:val="24"/>
              </w:rPr>
            </w:pPr>
            <w:r>
              <w:rPr>
                <w:rFonts w:hint="eastAsia"/>
                <w:sz w:val="24"/>
                <w:szCs w:val="24"/>
              </w:rPr>
              <w:t>第四十九项“卫生”第108条“专科疾病防治院（所、站）”中的“其他（住院床位20张以下的除外）”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240" w:lineRule="auto"/>
              <w:ind w:firstLine="0" w:firstLineChars="0"/>
              <w:jc w:val="center"/>
              <w:rPr>
                <w:rFonts w:cs="Times New Roman" w:asciiTheme="minorEastAsia" w:hAnsiTheme="minorEastAsia"/>
                <w:b/>
                <w:szCs w:val="24"/>
              </w:rPr>
            </w:pPr>
            <w:r>
              <w:rPr>
                <w:rFonts w:cs="Times New Roman" w:asciiTheme="minorEastAsia" w:hAnsiTheme="minorEastAsia"/>
                <w:b/>
                <w:szCs w:val="24"/>
              </w:rPr>
              <w:t>建设性质</w:t>
            </w:r>
          </w:p>
        </w:tc>
        <w:tc>
          <w:tcPr>
            <w:tcW w:w="1775" w:type="dxa"/>
            <w:vAlign w:val="center"/>
          </w:tcPr>
          <w:p>
            <w:pPr>
              <w:spacing w:line="240" w:lineRule="auto"/>
              <w:ind w:firstLine="0" w:firstLineChars="0"/>
              <w:jc w:val="left"/>
              <w:rPr>
                <w:rFonts w:cs="Times New Roman" w:asciiTheme="minorEastAsia" w:hAnsiTheme="minorEastAsia"/>
                <w:szCs w:val="24"/>
              </w:rPr>
            </w:pPr>
            <w:r>
              <w:rPr>
                <w:rFonts w:hint="eastAsia" w:cs="Times New Roman" w:asciiTheme="minorEastAsia" w:hAnsiTheme="minorEastAsia"/>
                <w:szCs w:val="24"/>
              </w:rPr>
              <w:sym w:font="Wingdings 2" w:char="F052"/>
            </w:r>
            <w:r>
              <w:rPr>
                <w:rFonts w:hint="eastAsia" w:cs="Times New Roman" w:asciiTheme="minorEastAsia" w:hAnsiTheme="minorEastAsia"/>
                <w:szCs w:val="24"/>
              </w:rPr>
              <w:t>新建（补办）</w:t>
            </w:r>
          </w:p>
          <w:p>
            <w:pPr>
              <w:spacing w:line="240" w:lineRule="auto"/>
              <w:ind w:firstLine="0" w:firstLineChars="0"/>
              <w:jc w:val="left"/>
              <w:rPr>
                <w:rFonts w:cs="Times New Roman" w:asciiTheme="minorEastAsia" w:hAnsiTheme="minorEastAsia"/>
                <w:szCs w:val="24"/>
              </w:rPr>
            </w:pPr>
            <w:r>
              <w:rPr>
                <w:rFonts w:hint="eastAsia" w:cs="Times New Roman" w:asciiTheme="minorEastAsia" w:hAnsiTheme="minorEastAsia"/>
                <w:szCs w:val="24"/>
              </w:rPr>
              <w:t>□改建</w:t>
            </w:r>
          </w:p>
          <w:p>
            <w:pPr>
              <w:spacing w:line="240" w:lineRule="auto"/>
              <w:ind w:firstLine="0" w:firstLineChars="0"/>
              <w:jc w:val="left"/>
              <w:rPr>
                <w:rFonts w:cs="Times New Roman" w:asciiTheme="minorEastAsia" w:hAnsiTheme="minorEastAsia"/>
                <w:szCs w:val="24"/>
              </w:rPr>
            </w:pPr>
            <w:r>
              <w:rPr>
                <w:rFonts w:hint="eastAsia" w:cs="Times New Roman" w:asciiTheme="minorEastAsia" w:hAnsiTheme="minorEastAsia"/>
                <w:szCs w:val="24"/>
              </w:rPr>
              <w:t>□扩建</w:t>
            </w:r>
          </w:p>
          <w:p>
            <w:pPr>
              <w:spacing w:line="240" w:lineRule="auto"/>
              <w:ind w:firstLine="0" w:firstLineChars="0"/>
              <w:jc w:val="left"/>
              <w:rPr>
                <w:rFonts w:cs="Times New Roman" w:asciiTheme="minorEastAsia" w:hAnsiTheme="minorEastAsia"/>
                <w:szCs w:val="24"/>
              </w:rPr>
            </w:pPr>
            <w:r>
              <w:rPr>
                <w:rFonts w:hint="eastAsia" w:cs="Times New Roman" w:asciiTheme="minorEastAsia" w:hAnsiTheme="minorEastAsia"/>
                <w:szCs w:val="24"/>
              </w:rPr>
              <w:t>□技术改造</w:t>
            </w:r>
          </w:p>
        </w:tc>
        <w:tc>
          <w:tcPr>
            <w:tcW w:w="2126" w:type="dxa"/>
            <w:gridSpan w:val="2"/>
            <w:vAlign w:val="center"/>
          </w:tcPr>
          <w:p>
            <w:pPr>
              <w:spacing w:line="240" w:lineRule="auto"/>
              <w:ind w:firstLine="0" w:firstLineChars="0"/>
              <w:jc w:val="center"/>
              <w:rPr>
                <w:rFonts w:cs="Times New Roman" w:asciiTheme="minorEastAsia" w:hAnsiTheme="minorEastAsia"/>
                <w:b/>
                <w:szCs w:val="24"/>
              </w:rPr>
            </w:pPr>
            <w:r>
              <w:rPr>
                <w:rFonts w:hint="eastAsia" w:cs="Times New Roman" w:asciiTheme="minorEastAsia" w:hAnsiTheme="minorEastAsia"/>
                <w:b/>
                <w:szCs w:val="24"/>
              </w:rPr>
              <w:t>建设项目</w:t>
            </w:r>
          </w:p>
          <w:p>
            <w:pPr>
              <w:spacing w:line="240" w:lineRule="auto"/>
              <w:ind w:firstLine="0" w:firstLineChars="0"/>
              <w:jc w:val="center"/>
              <w:rPr>
                <w:rFonts w:cs="Times New Roman" w:asciiTheme="minorEastAsia" w:hAnsiTheme="minorEastAsia"/>
                <w:b/>
                <w:szCs w:val="24"/>
              </w:rPr>
            </w:pPr>
            <w:r>
              <w:rPr>
                <w:rFonts w:hint="eastAsia" w:cs="Times New Roman" w:asciiTheme="minorEastAsia" w:hAnsiTheme="minorEastAsia"/>
                <w:b/>
                <w:szCs w:val="24"/>
              </w:rPr>
              <w:t>申报情形</w:t>
            </w:r>
          </w:p>
        </w:tc>
        <w:tc>
          <w:tcPr>
            <w:tcW w:w="3229" w:type="dxa"/>
            <w:gridSpan w:val="2"/>
            <w:vAlign w:val="center"/>
          </w:tcPr>
          <w:p>
            <w:pPr>
              <w:spacing w:line="240" w:lineRule="auto"/>
              <w:ind w:firstLine="0" w:firstLineChars="0"/>
              <w:jc w:val="left"/>
              <w:rPr>
                <w:rFonts w:ascii="宋体" w:eastAsia="宋体" w:cs="宋体"/>
                <w:kern w:val="0"/>
              </w:rPr>
            </w:pPr>
            <w:r>
              <w:rPr>
                <w:rFonts w:hint="eastAsia" w:ascii="宋体" w:eastAsia="宋体" w:cs="宋体"/>
                <w:kern w:val="0"/>
              </w:rPr>
              <w:sym w:font="Wingdings 2" w:char="F052"/>
            </w:r>
            <w:r>
              <w:rPr>
                <w:rFonts w:hint="eastAsia" w:ascii="宋体" w:eastAsia="宋体" w:cs="宋体"/>
                <w:kern w:val="0"/>
              </w:rPr>
              <w:t xml:space="preserve">首次申报项目 </w:t>
            </w:r>
          </w:p>
          <w:p>
            <w:pPr>
              <w:spacing w:line="240" w:lineRule="auto"/>
              <w:ind w:firstLine="0" w:firstLineChars="0"/>
              <w:jc w:val="left"/>
              <w:rPr>
                <w:rFonts w:ascii="宋体" w:eastAsia="宋体" w:cs="宋体"/>
                <w:kern w:val="0"/>
              </w:rPr>
            </w:pPr>
            <w:r>
              <w:rPr>
                <w:rFonts w:hint="eastAsia" w:ascii="宋体" w:eastAsia="宋体" w:cs="宋体"/>
                <w:kern w:val="0"/>
              </w:rPr>
              <w:t>□不予批准后再次申报项目</w:t>
            </w:r>
          </w:p>
          <w:p>
            <w:pPr>
              <w:spacing w:line="240" w:lineRule="auto"/>
              <w:ind w:firstLine="0" w:firstLineChars="0"/>
              <w:jc w:val="left"/>
              <w:rPr>
                <w:rFonts w:ascii="宋体" w:eastAsia="宋体" w:cs="宋体"/>
                <w:kern w:val="0"/>
              </w:rPr>
            </w:pPr>
            <w:r>
              <w:rPr>
                <w:rFonts w:hint="eastAsia" w:cs="Times New Roman" w:asciiTheme="minorEastAsia" w:hAnsiTheme="minorEastAsia"/>
                <w:szCs w:val="24"/>
              </w:rPr>
              <w:t>□</w:t>
            </w:r>
            <w:r>
              <w:rPr>
                <w:rFonts w:hint="eastAsia" w:ascii="宋体" w:eastAsia="宋体" w:cs="宋体"/>
                <w:kern w:val="0"/>
              </w:rPr>
              <w:t>超五年重新审核项目</w:t>
            </w:r>
          </w:p>
          <w:p>
            <w:pPr>
              <w:spacing w:line="240" w:lineRule="auto"/>
              <w:ind w:firstLine="0" w:firstLineChars="0"/>
              <w:jc w:val="left"/>
              <w:rPr>
                <w:rFonts w:cs="Times New Roman" w:asciiTheme="minorEastAsia" w:hAnsiTheme="minorEastAsia"/>
                <w:szCs w:val="24"/>
              </w:rPr>
            </w:pPr>
            <w:r>
              <w:rPr>
                <w:rFonts w:hint="eastAsia" w:ascii="宋体" w:eastAsia="宋体" w:cs="宋体"/>
                <w:kern w:val="0"/>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240" w:lineRule="auto"/>
              <w:ind w:firstLine="0" w:firstLineChars="0"/>
              <w:jc w:val="center"/>
              <w:rPr>
                <w:rFonts w:cs="Times New Roman" w:asciiTheme="minorEastAsia" w:hAnsiTheme="minorEastAsia"/>
                <w:b/>
                <w:szCs w:val="24"/>
              </w:rPr>
            </w:pPr>
            <w:r>
              <w:rPr>
                <w:rFonts w:hint="eastAsia" w:cs="Times New Roman" w:asciiTheme="minorEastAsia" w:hAnsiTheme="minorEastAsia"/>
                <w:b/>
                <w:szCs w:val="24"/>
              </w:rPr>
              <w:t>项目审批（核准/</w:t>
            </w:r>
          </w:p>
          <w:p>
            <w:pPr>
              <w:spacing w:line="240" w:lineRule="auto"/>
              <w:ind w:firstLine="0" w:firstLineChars="0"/>
              <w:jc w:val="center"/>
              <w:rPr>
                <w:rFonts w:cs="Times New Roman" w:asciiTheme="minorEastAsia" w:hAnsiTheme="minorEastAsia"/>
                <w:b/>
                <w:szCs w:val="24"/>
              </w:rPr>
            </w:pPr>
            <w:r>
              <w:rPr>
                <w:rFonts w:hint="eastAsia" w:cs="Times New Roman" w:asciiTheme="minorEastAsia" w:hAnsiTheme="minorEastAsia"/>
                <w:b/>
                <w:szCs w:val="24"/>
              </w:rPr>
              <w:t>备案）部门（选填）</w:t>
            </w:r>
          </w:p>
        </w:tc>
        <w:tc>
          <w:tcPr>
            <w:tcW w:w="1775" w:type="dxa"/>
            <w:vAlign w:val="center"/>
          </w:tcPr>
          <w:p>
            <w:pPr>
              <w:spacing w:line="240" w:lineRule="auto"/>
              <w:ind w:firstLine="0" w:firstLineChars="0"/>
              <w:jc w:val="center"/>
              <w:rPr>
                <w:rFonts w:cs="Times New Roman" w:asciiTheme="minorEastAsia" w:hAnsiTheme="minorEastAsia"/>
                <w:szCs w:val="24"/>
              </w:rPr>
            </w:pPr>
          </w:p>
        </w:tc>
        <w:tc>
          <w:tcPr>
            <w:tcW w:w="2126" w:type="dxa"/>
            <w:gridSpan w:val="2"/>
            <w:vAlign w:val="center"/>
          </w:tcPr>
          <w:p>
            <w:pPr>
              <w:spacing w:line="240" w:lineRule="auto"/>
              <w:ind w:firstLine="0" w:firstLineChars="0"/>
              <w:jc w:val="center"/>
              <w:rPr>
                <w:rFonts w:cs="Times New Roman" w:asciiTheme="minorEastAsia" w:hAnsiTheme="minorEastAsia"/>
                <w:b/>
                <w:szCs w:val="24"/>
              </w:rPr>
            </w:pPr>
            <w:r>
              <w:rPr>
                <w:rFonts w:hint="eastAsia" w:cs="Times New Roman" w:asciiTheme="minorEastAsia" w:hAnsiTheme="minorEastAsia"/>
                <w:b/>
                <w:szCs w:val="24"/>
              </w:rPr>
              <w:t>项目审批（核准/</w:t>
            </w:r>
          </w:p>
          <w:p>
            <w:pPr>
              <w:spacing w:line="240" w:lineRule="auto"/>
              <w:ind w:firstLine="0" w:firstLineChars="0"/>
              <w:jc w:val="center"/>
              <w:rPr>
                <w:rFonts w:cs="Times New Roman" w:asciiTheme="minorEastAsia" w:hAnsiTheme="minorEastAsia"/>
                <w:b/>
                <w:szCs w:val="24"/>
              </w:rPr>
            </w:pPr>
            <w:r>
              <w:rPr>
                <w:rFonts w:hint="eastAsia" w:cs="Times New Roman" w:asciiTheme="minorEastAsia" w:hAnsiTheme="minorEastAsia"/>
                <w:b/>
                <w:szCs w:val="24"/>
              </w:rPr>
              <w:t>备案）文号（选填）</w:t>
            </w:r>
          </w:p>
        </w:tc>
        <w:tc>
          <w:tcPr>
            <w:tcW w:w="3229" w:type="dxa"/>
            <w:gridSpan w:val="2"/>
            <w:vAlign w:val="center"/>
          </w:tcPr>
          <w:p>
            <w:pPr>
              <w:spacing w:line="240" w:lineRule="auto"/>
              <w:ind w:firstLine="0" w:firstLineChars="0"/>
              <w:jc w:val="center"/>
              <w:rPr>
                <w:rFonts w:ascii="宋体" w:eastAsia="宋体" w:cs="宋体"/>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240" w:lineRule="auto"/>
              <w:ind w:firstLine="0" w:firstLineChars="0"/>
              <w:jc w:val="center"/>
              <w:rPr>
                <w:rFonts w:cs="Times New Roman" w:asciiTheme="minorEastAsia" w:hAnsiTheme="minorEastAsia"/>
                <w:b/>
                <w:szCs w:val="24"/>
              </w:rPr>
            </w:pPr>
            <w:r>
              <w:rPr>
                <w:rFonts w:cs="Times New Roman" w:asciiTheme="minorEastAsia" w:hAnsiTheme="minorEastAsia"/>
                <w:b/>
                <w:szCs w:val="24"/>
              </w:rPr>
              <w:t>总投资(万元)</w:t>
            </w:r>
          </w:p>
        </w:tc>
        <w:tc>
          <w:tcPr>
            <w:tcW w:w="1775" w:type="dxa"/>
            <w:vAlign w:val="center"/>
          </w:tcPr>
          <w:p>
            <w:pPr>
              <w:ind w:firstLine="480"/>
            </w:pPr>
            <w:r>
              <w:rPr>
                <w:rFonts w:hint="eastAsia"/>
              </w:rPr>
              <w:t>1800</w:t>
            </w:r>
          </w:p>
        </w:tc>
        <w:tc>
          <w:tcPr>
            <w:tcW w:w="2126" w:type="dxa"/>
            <w:gridSpan w:val="2"/>
            <w:vAlign w:val="center"/>
          </w:tcPr>
          <w:p>
            <w:pPr>
              <w:ind w:firstLine="0" w:firstLineChars="0"/>
              <w:rPr>
                <w:b/>
              </w:rPr>
            </w:pPr>
            <w:r>
              <w:rPr>
                <w:rFonts w:hint="eastAsia"/>
                <w:b/>
              </w:rPr>
              <w:t>环保投资（万元）</w:t>
            </w:r>
          </w:p>
        </w:tc>
        <w:tc>
          <w:tcPr>
            <w:tcW w:w="3229" w:type="dxa"/>
            <w:gridSpan w:val="2"/>
            <w:vAlign w:val="center"/>
          </w:tcPr>
          <w:p>
            <w:pPr>
              <w:ind w:firstLine="480"/>
            </w:pPr>
            <w:r>
              <w:rPr>
                <w:rFonts w:hint="eastAsia"/>
              </w:rPr>
              <w:t>33.1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240" w:lineRule="auto"/>
              <w:ind w:firstLine="0" w:firstLineChars="0"/>
              <w:jc w:val="center"/>
              <w:rPr>
                <w:rFonts w:cs="Times New Roman" w:asciiTheme="minorEastAsia" w:hAnsiTheme="minorEastAsia"/>
                <w:b/>
                <w:szCs w:val="24"/>
              </w:rPr>
            </w:pPr>
            <w:r>
              <w:rPr>
                <w:rFonts w:hint="eastAsia" w:cs="Times New Roman" w:asciiTheme="minorEastAsia" w:hAnsiTheme="minorEastAsia"/>
                <w:b/>
                <w:szCs w:val="24"/>
              </w:rPr>
              <w:t>环保投资占比（%）</w:t>
            </w:r>
          </w:p>
        </w:tc>
        <w:tc>
          <w:tcPr>
            <w:tcW w:w="1775" w:type="dxa"/>
            <w:vAlign w:val="center"/>
          </w:tcPr>
          <w:p>
            <w:pPr>
              <w:spacing w:line="240" w:lineRule="auto"/>
              <w:ind w:firstLine="0" w:firstLineChars="0"/>
              <w:jc w:val="center"/>
              <w:rPr>
                <w:rFonts w:cs="Times New Roman"/>
                <w:szCs w:val="24"/>
              </w:rPr>
            </w:pPr>
            <w:r>
              <w:rPr>
                <w:rFonts w:hint="eastAsia" w:cs="Times New Roman"/>
                <w:szCs w:val="24"/>
              </w:rPr>
              <w:t>1.84</w:t>
            </w:r>
          </w:p>
        </w:tc>
        <w:tc>
          <w:tcPr>
            <w:tcW w:w="2126" w:type="dxa"/>
            <w:gridSpan w:val="2"/>
            <w:vAlign w:val="center"/>
          </w:tcPr>
          <w:p>
            <w:pPr>
              <w:ind w:firstLine="0" w:firstLineChars="0"/>
              <w:jc w:val="center"/>
              <w:rPr>
                <w:b/>
              </w:rPr>
            </w:pPr>
            <w:r>
              <w:rPr>
                <w:rFonts w:hint="eastAsia"/>
                <w:b/>
              </w:rPr>
              <w:t>施工工期</w:t>
            </w:r>
          </w:p>
        </w:tc>
        <w:tc>
          <w:tcPr>
            <w:tcW w:w="3229" w:type="dxa"/>
            <w:gridSpan w:val="2"/>
            <w:vAlign w:val="center"/>
          </w:tcPr>
          <w:p>
            <w:pPr>
              <w:ind w:firstLine="480"/>
            </w:pPr>
            <w:r>
              <w:rPr>
                <w:rFonts w:hint="eastAsia"/>
              </w:rPr>
              <w:t>1月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240" w:lineRule="auto"/>
              <w:ind w:firstLine="0" w:firstLineChars="0"/>
              <w:jc w:val="center"/>
              <w:rPr>
                <w:rFonts w:cs="Times New Roman" w:asciiTheme="minorEastAsia" w:hAnsiTheme="minorEastAsia"/>
                <w:b/>
                <w:szCs w:val="24"/>
              </w:rPr>
            </w:pPr>
            <w:r>
              <w:rPr>
                <w:rFonts w:hint="eastAsia" w:cs="Times New Roman" w:asciiTheme="minorEastAsia" w:hAnsiTheme="minorEastAsia"/>
                <w:b/>
                <w:szCs w:val="24"/>
              </w:rPr>
              <w:t>是否开工建</w:t>
            </w:r>
          </w:p>
        </w:tc>
        <w:tc>
          <w:tcPr>
            <w:tcW w:w="1775" w:type="dxa"/>
            <w:vAlign w:val="center"/>
          </w:tcPr>
          <w:p>
            <w:pPr>
              <w:spacing w:line="240" w:lineRule="auto"/>
              <w:ind w:firstLine="0" w:firstLineChars="0"/>
              <w:jc w:val="left"/>
              <w:rPr>
                <w:rFonts w:cs="Times New Roman" w:asciiTheme="minorEastAsia" w:hAnsiTheme="minorEastAsia"/>
                <w:szCs w:val="24"/>
              </w:rPr>
            </w:pPr>
            <w:r>
              <w:rPr>
                <w:rFonts w:hint="eastAsia" w:cs="Times New Roman" w:asciiTheme="minorEastAsia" w:hAnsiTheme="minorEastAsia"/>
                <w:szCs w:val="24"/>
              </w:rPr>
              <w:t>□否</w:t>
            </w:r>
          </w:p>
          <w:p>
            <w:pPr>
              <w:spacing w:line="240" w:lineRule="auto"/>
              <w:ind w:firstLine="0" w:firstLineChars="0"/>
              <w:jc w:val="left"/>
              <w:rPr>
                <w:rFonts w:cs="Times New Roman" w:asciiTheme="minorEastAsia" w:hAnsiTheme="minorEastAsia"/>
                <w:szCs w:val="24"/>
              </w:rPr>
            </w:pPr>
            <w:r>
              <w:rPr>
                <w:rFonts w:hint="eastAsia" w:cs="Times New Roman" w:asciiTheme="minorEastAsia" w:hAnsiTheme="minorEastAsia"/>
                <w:szCs w:val="24"/>
              </w:rPr>
              <w:sym w:font="Wingdings 2" w:char="F052"/>
            </w:r>
            <w:r>
              <w:rPr>
                <w:rFonts w:hint="eastAsia" w:cs="Times New Roman" w:asciiTheme="minorEastAsia" w:hAnsiTheme="minorEastAsia"/>
                <w:szCs w:val="24"/>
              </w:rPr>
              <w:t>是</w:t>
            </w:r>
            <w:r>
              <w:rPr>
                <w:rFonts w:hint="eastAsia" w:cs="Times New Roman" w:asciiTheme="minorEastAsia" w:hAnsiTheme="minorEastAsia"/>
                <w:color w:val="FF0000"/>
                <w:szCs w:val="24"/>
              </w:rPr>
              <w:t>：</w:t>
            </w:r>
            <w:r>
              <w:rPr>
                <w:rFonts w:hint="eastAsia" w:cs="Times New Roman" w:asciiTheme="minorEastAsia" w:hAnsiTheme="minorEastAsia"/>
                <w:color w:val="FF0000"/>
                <w:szCs w:val="24"/>
                <w:u w:val="single"/>
              </w:rPr>
              <w:t xml:space="preserve">卫生院于1967年建成，为解决历史遗留问题，完善环评手续 </w:t>
            </w:r>
          </w:p>
        </w:tc>
        <w:tc>
          <w:tcPr>
            <w:tcW w:w="2126" w:type="dxa"/>
            <w:gridSpan w:val="2"/>
            <w:vAlign w:val="center"/>
          </w:tcPr>
          <w:p>
            <w:pPr>
              <w:spacing w:line="240" w:lineRule="auto"/>
              <w:ind w:firstLine="0" w:firstLineChars="0"/>
              <w:jc w:val="center"/>
              <w:rPr>
                <w:rFonts w:cs="Times New Roman" w:asciiTheme="minorEastAsia" w:hAnsiTheme="minorEastAsia"/>
                <w:b/>
                <w:szCs w:val="24"/>
              </w:rPr>
            </w:pPr>
            <w:r>
              <w:rPr>
                <w:rFonts w:hint="eastAsia" w:cs="Times New Roman" w:asciiTheme="minorEastAsia" w:hAnsiTheme="minorEastAsia"/>
                <w:b/>
                <w:szCs w:val="24"/>
              </w:rPr>
              <w:t>用地（用海）</w:t>
            </w:r>
          </w:p>
          <w:p>
            <w:pPr>
              <w:spacing w:line="240" w:lineRule="auto"/>
              <w:ind w:firstLine="0" w:firstLineChars="0"/>
              <w:jc w:val="center"/>
              <w:rPr>
                <w:rFonts w:cs="Times New Roman" w:asciiTheme="minorEastAsia" w:hAnsiTheme="minorEastAsia"/>
                <w:b/>
                <w:szCs w:val="24"/>
              </w:rPr>
            </w:pPr>
            <w:r>
              <w:rPr>
                <w:rFonts w:hint="eastAsia" w:cs="Times New Roman" w:asciiTheme="minorEastAsia" w:hAnsiTheme="minorEastAsia"/>
                <w:b/>
                <w:szCs w:val="24"/>
              </w:rPr>
              <w:t>面积（m</w:t>
            </w:r>
            <w:r>
              <w:rPr>
                <w:rFonts w:hint="eastAsia" w:cs="Times New Roman" w:asciiTheme="minorEastAsia" w:hAnsiTheme="minorEastAsia"/>
                <w:b/>
                <w:szCs w:val="24"/>
                <w:vertAlign w:val="superscript"/>
              </w:rPr>
              <w:t>2</w:t>
            </w:r>
            <w:r>
              <w:rPr>
                <w:rFonts w:hint="eastAsia" w:cs="Times New Roman" w:asciiTheme="minorEastAsia" w:hAnsiTheme="minorEastAsia"/>
                <w:b/>
                <w:szCs w:val="24"/>
              </w:rPr>
              <w:t>）</w:t>
            </w:r>
          </w:p>
        </w:tc>
        <w:tc>
          <w:tcPr>
            <w:tcW w:w="3229" w:type="dxa"/>
            <w:gridSpan w:val="2"/>
            <w:vAlign w:val="center"/>
          </w:tcPr>
          <w:p>
            <w:pPr>
              <w:ind w:firstLine="480"/>
            </w:pPr>
            <w:r>
              <w:rPr>
                <w:rFonts w:hint="eastAsia"/>
              </w:rPr>
              <w:t>5200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90" w:type="dxa"/>
            <w:vAlign w:val="center"/>
          </w:tcPr>
          <w:p>
            <w:pPr>
              <w:adjustRightInd w:val="0"/>
              <w:snapToGrid w:val="0"/>
              <w:spacing w:line="400" w:lineRule="exact"/>
              <w:ind w:firstLine="0" w:firstLineChars="0"/>
              <w:jc w:val="center"/>
              <w:rPr>
                <w:rFonts w:cs="Times New Roman" w:asciiTheme="minorEastAsia" w:hAnsiTheme="minorEastAsia"/>
                <w:b/>
                <w:bCs/>
                <w:szCs w:val="24"/>
              </w:rPr>
            </w:pPr>
            <w:r>
              <w:rPr>
                <w:rFonts w:hint="eastAsia" w:cs="Times New Roman" w:asciiTheme="minorEastAsia" w:hAnsiTheme="minorEastAsia"/>
                <w:b/>
                <w:bCs/>
                <w:szCs w:val="24"/>
              </w:rPr>
              <w:t>专项评价设置情况</w:t>
            </w:r>
          </w:p>
        </w:tc>
        <w:tc>
          <w:tcPr>
            <w:tcW w:w="7130" w:type="dxa"/>
            <w:gridSpan w:val="5"/>
            <w:vAlign w:val="center"/>
          </w:tcPr>
          <w:p>
            <w:pPr>
              <w:adjustRightInd w:val="0"/>
              <w:snapToGrid w:val="0"/>
              <w:ind w:firstLine="0" w:firstLineChars="0"/>
            </w:pPr>
            <w:r>
              <w:rPr>
                <w:rFonts w:hint="eastAsia"/>
              </w:rPr>
              <w:t>根据《建设项目环境影响报告表编制技术指南（污染影响类）》：</w:t>
            </w:r>
          </w:p>
          <w:p>
            <w:pPr>
              <w:adjustRightInd w:val="0"/>
              <w:snapToGrid w:val="0"/>
              <w:ind w:firstLine="0" w:firstLineChars="0"/>
            </w:pPr>
            <w:r>
              <w:t>①</w:t>
            </w:r>
            <w:r>
              <w:rPr>
                <w:rFonts w:hint="eastAsia"/>
              </w:rPr>
              <w:t>项目为姚安县龙岗卫生院建设项目，不涉及有毒有害的废气排放，故本评价不设置大气专项评价；</w:t>
            </w:r>
          </w:p>
          <w:p>
            <w:pPr>
              <w:adjustRightInd w:val="0"/>
              <w:snapToGrid w:val="0"/>
              <w:ind w:firstLine="0" w:firstLineChars="0"/>
            </w:pPr>
            <w:r>
              <w:rPr>
                <w:rFonts w:ascii="Calibri" w:hAnsi="Calibri" w:cs="Calibri"/>
              </w:rPr>
              <w:t>②</w:t>
            </w:r>
            <w:r>
              <w:rPr>
                <w:rFonts w:hint="eastAsia"/>
              </w:rPr>
              <w:t>项目为姚安县龙岗卫生院建设项目，不属于新增工业废水直排建设项目及新增废水直排的污水集中处理厂，故本评价不设置地表水专项评价；</w:t>
            </w:r>
          </w:p>
          <w:p>
            <w:pPr>
              <w:adjustRightInd w:val="0"/>
              <w:snapToGrid w:val="0"/>
              <w:ind w:firstLine="0" w:firstLineChars="0"/>
            </w:pPr>
            <w:r>
              <w:rPr>
                <w:rFonts w:ascii="Calibri" w:hAnsi="Calibri" w:cs="Calibri"/>
              </w:rPr>
              <w:t>③</w:t>
            </w:r>
            <w:r>
              <w:rPr>
                <w:rFonts w:hint="eastAsia"/>
              </w:rPr>
              <w:t>项目为姚安县龙岗卫生院建设项目，涉及的风险物质为酒精、次氯酸钠及氧气，其储存量较小，未达到物质储存临界量，故本评价不设置环境风险专项评价；</w:t>
            </w:r>
          </w:p>
          <w:p>
            <w:pPr>
              <w:adjustRightInd w:val="0"/>
              <w:snapToGrid w:val="0"/>
              <w:ind w:firstLine="0" w:firstLineChars="0"/>
            </w:pPr>
            <w:r>
              <w:rPr>
                <w:rFonts w:hint="eastAsia" w:ascii="宋体" w:hAnsi="宋体" w:eastAsia="宋体" w:cs="宋体"/>
              </w:rPr>
              <w:t>④</w:t>
            </w:r>
            <w:r>
              <w:rPr>
                <w:rFonts w:hint="eastAsia"/>
              </w:rPr>
              <w:t>项目为姚安县龙岗卫生院建设项目，</w:t>
            </w:r>
            <w:r>
              <w:rPr>
                <w:rFonts w:hint="eastAsia" w:cs="Times New Roman" w:asciiTheme="minorEastAsia" w:hAnsiTheme="minorEastAsia"/>
                <w:szCs w:val="24"/>
              </w:rPr>
              <w:t>位于姚安县栋川镇下新屯村委会，属于城镇建成区，项目使用自来水，不涉及取水口，且不属于重要水生生物的自然产卵场、索饵场、越冬场和洄游通道的河道取水的污染类建设项目</w:t>
            </w:r>
            <w:r>
              <w:rPr>
                <w:rFonts w:hint="eastAsia"/>
              </w:rPr>
              <w:t>，故本评价不设置生态专项评价；</w:t>
            </w:r>
          </w:p>
          <w:p>
            <w:pPr>
              <w:adjustRightInd w:val="0"/>
              <w:snapToGrid w:val="0"/>
              <w:ind w:firstLine="0" w:firstLineChars="0"/>
            </w:pPr>
            <w:r>
              <w:rPr>
                <w:rFonts w:hint="eastAsia" w:ascii="宋体" w:hAnsi="宋体" w:eastAsia="宋体" w:cs="宋体"/>
              </w:rPr>
              <w:t>⑤</w:t>
            </w:r>
            <w:r>
              <w:rPr>
                <w:rFonts w:hint="eastAsia"/>
              </w:rPr>
              <w:t>项目为姚安县龙岗卫生院建设项目，</w:t>
            </w:r>
            <w:r>
              <w:rPr>
                <w:rFonts w:hint="eastAsia" w:cs="Times New Roman" w:asciiTheme="minorEastAsia" w:hAnsiTheme="minorEastAsia"/>
                <w:szCs w:val="24"/>
              </w:rPr>
              <w:t>位于姚安县栋川镇下新屯村委会，属于内陆城镇建成区，不涉及直接向海洋排放污染物的海洋工程建设项目</w:t>
            </w:r>
            <w:r>
              <w:rPr>
                <w:rFonts w:hint="eastAsia"/>
              </w:rPr>
              <w:t>，故本评价不设置海洋专项评价。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2390" w:type="dxa"/>
            <w:vAlign w:val="center"/>
          </w:tcPr>
          <w:p>
            <w:pPr>
              <w:adjustRightInd w:val="0"/>
              <w:snapToGrid w:val="0"/>
              <w:spacing w:line="400" w:lineRule="exact"/>
              <w:ind w:firstLine="0" w:firstLineChars="0"/>
              <w:jc w:val="center"/>
              <w:rPr>
                <w:rFonts w:cs="Times New Roman" w:asciiTheme="minorEastAsia" w:hAnsiTheme="minorEastAsia"/>
                <w:b/>
                <w:bCs/>
                <w:szCs w:val="24"/>
              </w:rPr>
            </w:pPr>
            <w:r>
              <w:rPr>
                <w:rFonts w:hint="eastAsia" w:cs="Times New Roman" w:asciiTheme="minorEastAsia" w:hAnsiTheme="minorEastAsia"/>
                <w:b/>
                <w:bCs/>
                <w:szCs w:val="24"/>
              </w:rPr>
              <w:t>规划情况</w:t>
            </w:r>
          </w:p>
        </w:tc>
        <w:tc>
          <w:tcPr>
            <w:tcW w:w="7130" w:type="dxa"/>
            <w:gridSpan w:val="5"/>
            <w:vAlign w:val="center"/>
          </w:tcPr>
          <w:p>
            <w:pPr>
              <w:adjustRightInd w:val="0"/>
              <w:snapToGrid w:val="0"/>
              <w:spacing w:line="400" w:lineRule="exact"/>
              <w:ind w:firstLine="480"/>
              <w:rPr>
                <w:rFonts w:cs="Times New Roman" w:asciiTheme="minorEastAsia" w:hAnsiTheme="minorEastAsia"/>
                <w:bCs/>
                <w:szCs w:val="24"/>
              </w:rPr>
            </w:pPr>
            <w:r>
              <w:rPr>
                <w:rFonts w:hint="eastAsia" w:cs="Times New Roman" w:asciiTheme="minorEastAsia" w:hAnsiTheme="minorEastAsia"/>
                <w:bCs/>
                <w:szCs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390" w:type="dxa"/>
            <w:vAlign w:val="center"/>
          </w:tcPr>
          <w:p>
            <w:pPr>
              <w:adjustRightInd w:val="0"/>
              <w:snapToGrid w:val="0"/>
              <w:spacing w:line="400" w:lineRule="exact"/>
              <w:ind w:firstLine="0" w:firstLineChars="0"/>
              <w:jc w:val="center"/>
              <w:rPr>
                <w:rFonts w:cs="Times New Roman" w:asciiTheme="minorEastAsia" w:hAnsiTheme="minorEastAsia"/>
                <w:b/>
                <w:bCs/>
                <w:szCs w:val="24"/>
              </w:rPr>
            </w:pPr>
            <w:r>
              <w:rPr>
                <w:rFonts w:hint="eastAsia" w:cs="Times New Roman" w:asciiTheme="minorEastAsia" w:hAnsiTheme="minorEastAsia"/>
                <w:b/>
                <w:bCs/>
                <w:szCs w:val="24"/>
              </w:rPr>
              <w:t>规划环境影响</w:t>
            </w:r>
          </w:p>
          <w:p>
            <w:pPr>
              <w:adjustRightInd w:val="0"/>
              <w:snapToGrid w:val="0"/>
              <w:spacing w:line="400" w:lineRule="exact"/>
              <w:ind w:firstLine="0" w:firstLineChars="0"/>
              <w:jc w:val="center"/>
              <w:rPr>
                <w:rFonts w:cs="Times New Roman" w:asciiTheme="minorEastAsia" w:hAnsiTheme="minorEastAsia"/>
                <w:b/>
                <w:bCs/>
                <w:szCs w:val="24"/>
              </w:rPr>
            </w:pPr>
            <w:r>
              <w:rPr>
                <w:rFonts w:hint="eastAsia" w:cs="Times New Roman" w:asciiTheme="minorEastAsia" w:hAnsiTheme="minorEastAsia"/>
                <w:b/>
                <w:bCs/>
                <w:szCs w:val="24"/>
              </w:rPr>
              <w:t>评价情况</w:t>
            </w:r>
          </w:p>
        </w:tc>
        <w:tc>
          <w:tcPr>
            <w:tcW w:w="7130" w:type="dxa"/>
            <w:gridSpan w:val="5"/>
            <w:vAlign w:val="center"/>
          </w:tcPr>
          <w:p>
            <w:pPr>
              <w:adjustRightInd w:val="0"/>
              <w:snapToGrid w:val="0"/>
              <w:spacing w:line="400" w:lineRule="exact"/>
              <w:ind w:firstLine="480"/>
              <w:rPr>
                <w:rFonts w:cs="Times New Roman" w:asciiTheme="minorEastAsia" w:hAnsiTheme="minorEastAsia"/>
                <w:bCs/>
                <w:szCs w:val="24"/>
              </w:rPr>
            </w:pPr>
            <w:r>
              <w:rPr>
                <w:rFonts w:hint="eastAsia" w:cs="Times New Roman" w:asciiTheme="minorEastAsia" w:hAnsiTheme="minorEastAsia"/>
                <w:bCs/>
                <w:szCs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 w:hRule="atLeast"/>
          <w:jc w:val="center"/>
        </w:trPr>
        <w:tc>
          <w:tcPr>
            <w:tcW w:w="2390" w:type="dxa"/>
            <w:vAlign w:val="center"/>
          </w:tcPr>
          <w:p>
            <w:pPr>
              <w:adjustRightInd w:val="0"/>
              <w:snapToGrid w:val="0"/>
              <w:spacing w:line="400" w:lineRule="exact"/>
              <w:ind w:firstLine="0" w:firstLineChars="0"/>
              <w:jc w:val="center"/>
              <w:rPr>
                <w:rFonts w:cs="Times New Roman" w:asciiTheme="minorEastAsia" w:hAnsiTheme="minorEastAsia"/>
                <w:b/>
                <w:bCs/>
                <w:szCs w:val="24"/>
              </w:rPr>
            </w:pPr>
            <w:r>
              <w:rPr>
                <w:rFonts w:hint="eastAsia" w:cs="Times New Roman" w:asciiTheme="minorEastAsia" w:hAnsiTheme="minorEastAsia"/>
                <w:b/>
                <w:bCs/>
                <w:szCs w:val="24"/>
              </w:rPr>
              <w:t>规划及规划环境</w:t>
            </w:r>
          </w:p>
          <w:p>
            <w:pPr>
              <w:adjustRightInd w:val="0"/>
              <w:snapToGrid w:val="0"/>
              <w:spacing w:line="400" w:lineRule="exact"/>
              <w:ind w:firstLine="0" w:firstLineChars="0"/>
              <w:jc w:val="center"/>
              <w:rPr>
                <w:rFonts w:cs="Times New Roman" w:asciiTheme="minorEastAsia" w:hAnsiTheme="minorEastAsia"/>
                <w:b/>
                <w:bCs/>
                <w:szCs w:val="24"/>
              </w:rPr>
            </w:pPr>
            <w:r>
              <w:rPr>
                <w:rFonts w:hint="eastAsia" w:cs="Times New Roman" w:asciiTheme="minorEastAsia" w:hAnsiTheme="minorEastAsia"/>
                <w:b/>
                <w:bCs/>
                <w:szCs w:val="24"/>
              </w:rPr>
              <w:t>影响评价符合性分析</w:t>
            </w:r>
          </w:p>
        </w:tc>
        <w:tc>
          <w:tcPr>
            <w:tcW w:w="7130" w:type="dxa"/>
            <w:gridSpan w:val="5"/>
            <w:vAlign w:val="center"/>
          </w:tcPr>
          <w:p>
            <w:pPr>
              <w:adjustRightInd w:val="0"/>
              <w:snapToGrid w:val="0"/>
              <w:spacing w:line="400" w:lineRule="exact"/>
              <w:ind w:firstLine="480"/>
              <w:rPr>
                <w:rFonts w:cs="Times New Roman" w:asciiTheme="minorEastAsia" w:hAnsiTheme="minorEastAsia"/>
                <w:bCs/>
                <w:szCs w:val="24"/>
              </w:rPr>
            </w:pPr>
            <w:r>
              <w:rPr>
                <w:rFonts w:hint="eastAsia" w:cs="Times New Roman" w:asciiTheme="minorEastAsia" w:hAnsiTheme="minorEastAsia"/>
                <w:bCs/>
                <w:szCs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2390" w:type="dxa"/>
            <w:vAlign w:val="center"/>
          </w:tcPr>
          <w:p>
            <w:pPr>
              <w:adjustRightInd w:val="0"/>
              <w:snapToGrid w:val="0"/>
              <w:spacing w:line="400" w:lineRule="exact"/>
              <w:ind w:firstLine="0" w:firstLineChars="0"/>
              <w:jc w:val="center"/>
              <w:rPr>
                <w:rFonts w:cs="Times New Roman" w:asciiTheme="minorEastAsia" w:hAnsiTheme="minorEastAsia"/>
                <w:b/>
                <w:bCs/>
                <w:szCs w:val="24"/>
              </w:rPr>
            </w:pPr>
          </w:p>
          <w:p>
            <w:pPr>
              <w:adjustRightInd w:val="0"/>
              <w:snapToGrid w:val="0"/>
              <w:spacing w:line="400" w:lineRule="exact"/>
              <w:ind w:firstLine="0" w:firstLineChars="0"/>
              <w:jc w:val="center"/>
              <w:rPr>
                <w:rFonts w:cs="Times New Roman" w:asciiTheme="minorEastAsia" w:hAnsiTheme="minorEastAsia"/>
                <w:b/>
                <w:bCs/>
                <w:szCs w:val="24"/>
              </w:rPr>
            </w:pPr>
          </w:p>
          <w:p>
            <w:pPr>
              <w:adjustRightInd w:val="0"/>
              <w:snapToGrid w:val="0"/>
              <w:spacing w:line="400" w:lineRule="exact"/>
              <w:ind w:firstLine="0" w:firstLineChars="0"/>
              <w:jc w:val="center"/>
              <w:rPr>
                <w:rFonts w:cs="Times New Roman" w:asciiTheme="minorEastAsia" w:hAnsiTheme="minorEastAsia"/>
                <w:b/>
                <w:bCs/>
                <w:szCs w:val="24"/>
              </w:rPr>
            </w:pPr>
          </w:p>
          <w:p>
            <w:pPr>
              <w:adjustRightInd w:val="0"/>
              <w:snapToGrid w:val="0"/>
              <w:spacing w:line="400" w:lineRule="exact"/>
              <w:ind w:firstLine="0" w:firstLineChars="0"/>
              <w:jc w:val="center"/>
              <w:rPr>
                <w:rFonts w:cs="Times New Roman" w:asciiTheme="minorEastAsia" w:hAnsiTheme="minorEastAsia"/>
                <w:b/>
                <w:bCs/>
                <w:szCs w:val="24"/>
              </w:rPr>
            </w:pPr>
            <w:r>
              <w:rPr>
                <w:rFonts w:hint="eastAsia" w:cs="Times New Roman" w:asciiTheme="minorEastAsia" w:hAnsiTheme="minorEastAsia"/>
                <w:b/>
                <w:bCs/>
                <w:szCs w:val="24"/>
              </w:rPr>
              <w:t>其他符合性分析</w:t>
            </w:r>
          </w:p>
          <w:p>
            <w:pPr>
              <w:adjustRightInd w:val="0"/>
              <w:snapToGrid w:val="0"/>
              <w:spacing w:line="400" w:lineRule="exact"/>
              <w:ind w:firstLine="0" w:firstLineChars="0"/>
              <w:jc w:val="center"/>
              <w:rPr>
                <w:rFonts w:cs="Times New Roman" w:asciiTheme="minorEastAsia" w:hAnsiTheme="minorEastAsia"/>
                <w:b/>
                <w:bCs/>
                <w:szCs w:val="24"/>
              </w:rPr>
            </w:pPr>
          </w:p>
          <w:p>
            <w:pPr>
              <w:adjustRightInd w:val="0"/>
              <w:snapToGrid w:val="0"/>
              <w:spacing w:line="400" w:lineRule="exact"/>
              <w:ind w:firstLine="0" w:firstLineChars="0"/>
              <w:jc w:val="center"/>
              <w:rPr>
                <w:rFonts w:cs="Times New Roman" w:asciiTheme="minorEastAsia" w:hAnsiTheme="minorEastAsia"/>
                <w:b/>
                <w:bCs/>
                <w:szCs w:val="24"/>
              </w:rPr>
            </w:pPr>
          </w:p>
          <w:p>
            <w:pPr>
              <w:adjustRightInd w:val="0"/>
              <w:snapToGrid w:val="0"/>
              <w:spacing w:line="400" w:lineRule="exact"/>
              <w:ind w:firstLine="0" w:firstLineChars="0"/>
              <w:jc w:val="center"/>
              <w:rPr>
                <w:rFonts w:cs="Times New Roman" w:asciiTheme="minorEastAsia" w:hAnsiTheme="minorEastAsia"/>
                <w:b/>
                <w:bCs/>
                <w:szCs w:val="24"/>
              </w:rPr>
            </w:pPr>
          </w:p>
          <w:p>
            <w:pPr>
              <w:adjustRightInd w:val="0"/>
              <w:snapToGrid w:val="0"/>
              <w:spacing w:line="400" w:lineRule="exact"/>
              <w:ind w:firstLine="0" w:firstLineChars="0"/>
              <w:jc w:val="center"/>
              <w:rPr>
                <w:rFonts w:cs="Times New Roman" w:asciiTheme="minorEastAsia" w:hAnsiTheme="minorEastAsia"/>
                <w:b/>
                <w:bCs/>
                <w:szCs w:val="24"/>
              </w:rPr>
            </w:pPr>
          </w:p>
          <w:p>
            <w:pPr>
              <w:adjustRightInd w:val="0"/>
              <w:snapToGrid w:val="0"/>
              <w:spacing w:line="400" w:lineRule="exact"/>
              <w:ind w:firstLine="0" w:firstLineChars="0"/>
              <w:jc w:val="center"/>
              <w:rPr>
                <w:rFonts w:cs="Times New Roman" w:asciiTheme="minorEastAsia" w:hAnsiTheme="minorEastAsia"/>
                <w:b/>
                <w:bCs/>
                <w:szCs w:val="24"/>
              </w:rPr>
            </w:pPr>
          </w:p>
          <w:p>
            <w:pPr>
              <w:adjustRightInd w:val="0"/>
              <w:snapToGrid w:val="0"/>
              <w:spacing w:line="400" w:lineRule="exact"/>
              <w:ind w:firstLine="0" w:firstLineChars="0"/>
              <w:jc w:val="center"/>
              <w:rPr>
                <w:rFonts w:cs="Times New Roman" w:asciiTheme="minorEastAsia" w:hAnsiTheme="minorEastAsia"/>
                <w:b/>
                <w:bCs/>
                <w:szCs w:val="24"/>
              </w:rPr>
            </w:pPr>
          </w:p>
          <w:p>
            <w:pPr>
              <w:adjustRightInd w:val="0"/>
              <w:snapToGrid w:val="0"/>
              <w:spacing w:line="400" w:lineRule="exact"/>
              <w:ind w:firstLine="0" w:firstLineChars="0"/>
              <w:jc w:val="center"/>
              <w:rPr>
                <w:rFonts w:cs="Times New Roman" w:asciiTheme="minorEastAsia" w:hAnsiTheme="minorEastAsia"/>
                <w:b/>
                <w:bCs/>
                <w:szCs w:val="24"/>
              </w:rPr>
            </w:pPr>
          </w:p>
          <w:p>
            <w:pPr>
              <w:adjustRightInd w:val="0"/>
              <w:snapToGrid w:val="0"/>
              <w:spacing w:line="400" w:lineRule="exact"/>
              <w:ind w:firstLine="0" w:firstLineChars="0"/>
              <w:jc w:val="center"/>
              <w:rPr>
                <w:rFonts w:cs="Times New Roman" w:asciiTheme="minorEastAsia" w:hAnsiTheme="minorEastAsia"/>
                <w:b/>
                <w:bCs/>
                <w:szCs w:val="24"/>
              </w:rPr>
            </w:pPr>
          </w:p>
          <w:p>
            <w:pPr>
              <w:adjustRightInd w:val="0"/>
              <w:snapToGrid w:val="0"/>
              <w:spacing w:line="400" w:lineRule="exact"/>
              <w:ind w:firstLine="0" w:firstLineChars="0"/>
              <w:jc w:val="center"/>
              <w:rPr>
                <w:rFonts w:cs="Times New Roman" w:asciiTheme="minorEastAsia" w:hAnsiTheme="minorEastAsia"/>
                <w:b/>
                <w:bCs/>
                <w:szCs w:val="24"/>
              </w:rPr>
            </w:pPr>
          </w:p>
          <w:p>
            <w:pPr>
              <w:adjustRightInd w:val="0"/>
              <w:snapToGrid w:val="0"/>
              <w:spacing w:line="400" w:lineRule="exact"/>
              <w:ind w:firstLine="0" w:firstLineChars="0"/>
              <w:jc w:val="center"/>
              <w:rPr>
                <w:rFonts w:cs="Times New Roman" w:asciiTheme="minorEastAsia" w:hAnsiTheme="minorEastAsia"/>
                <w:b/>
                <w:bCs/>
                <w:szCs w:val="24"/>
              </w:rPr>
            </w:pPr>
          </w:p>
          <w:p>
            <w:pPr>
              <w:adjustRightInd w:val="0"/>
              <w:snapToGrid w:val="0"/>
              <w:spacing w:line="400" w:lineRule="exact"/>
              <w:ind w:firstLine="0" w:firstLineChars="0"/>
              <w:jc w:val="center"/>
              <w:rPr>
                <w:rFonts w:cs="Times New Roman" w:asciiTheme="minorEastAsia" w:hAnsiTheme="minorEastAsia"/>
                <w:b/>
                <w:bCs/>
                <w:szCs w:val="24"/>
              </w:rPr>
            </w:pPr>
          </w:p>
          <w:p>
            <w:pPr>
              <w:adjustRightInd w:val="0"/>
              <w:snapToGrid w:val="0"/>
              <w:spacing w:line="400" w:lineRule="exact"/>
              <w:ind w:firstLine="0" w:firstLineChars="0"/>
              <w:jc w:val="center"/>
              <w:rPr>
                <w:rFonts w:cs="Times New Roman" w:asciiTheme="minorEastAsia" w:hAnsiTheme="minorEastAsia"/>
                <w:b/>
                <w:bCs/>
                <w:szCs w:val="24"/>
              </w:rPr>
            </w:pPr>
          </w:p>
          <w:p>
            <w:pPr>
              <w:adjustRightInd w:val="0"/>
              <w:snapToGrid w:val="0"/>
              <w:spacing w:line="400" w:lineRule="exact"/>
              <w:ind w:firstLine="0" w:firstLineChars="0"/>
              <w:jc w:val="center"/>
              <w:rPr>
                <w:rFonts w:cs="Times New Roman" w:asciiTheme="minorEastAsia" w:hAnsiTheme="minorEastAsia"/>
                <w:b/>
                <w:bCs/>
                <w:szCs w:val="24"/>
              </w:rPr>
            </w:pPr>
          </w:p>
          <w:p>
            <w:pPr>
              <w:adjustRightInd w:val="0"/>
              <w:snapToGrid w:val="0"/>
              <w:spacing w:line="400" w:lineRule="exact"/>
              <w:ind w:firstLine="0" w:firstLineChars="0"/>
              <w:jc w:val="center"/>
              <w:rPr>
                <w:rFonts w:cs="Times New Roman" w:asciiTheme="minorEastAsia" w:hAnsiTheme="minorEastAsia"/>
                <w:b/>
                <w:bCs/>
                <w:szCs w:val="24"/>
              </w:rPr>
            </w:pPr>
          </w:p>
          <w:p>
            <w:pPr>
              <w:adjustRightInd w:val="0"/>
              <w:snapToGrid w:val="0"/>
              <w:spacing w:line="400" w:lineRule="exact"/>
              <w:ind w:firstLine="0" w:firstLineChars="0"/>
              <w:jc w:val="center"/>
              <w:rPr>
                <w:rFonts w:cs="Times New Roman" w:asciiTheme="minorEastAsia" w:hAnsiTheme="minorEastAsia"/>
                <w:b/>
                <w:bCs/>
                <w:szCs w:val="24"/>
              </w:rPr>
            </w:pPr>
          </w:p>
          <w:p>
            <w:pPr>
              <w:adjustRightInd w:val="0"/>
              <w:snapToGrid w:val="0"/>
              <w:spacing w:line="400" w:lineRule="exact"/>
              <w:ind w:firstLine="0" w:firstLineChars="0"/>
              <w:jc w:val="center"/>
              <w:rPr>
                <w:rFonts w:cs="Times New Roman" w:asciiTheme="minorEastAsia" w:hAnsiTheme="minorEastAsia"/>
                <w:b/>
                <w:bCs/>
                <w:szCs w:val="24"/>
              </w:rPr>
            </w:pPr>
          </w:p>
          <w:p>
            <w:pPr>
              <w:adjustRightInd w:val="0"/>
              <w:snapToGrid w:val="0"/>
              <w:spacing w:line="400" w:lineRule="exact"/>
              <w:ind w:firstLine="0" w:firstLineChars="0"/>
              <w:jc w:val="center"/>
              <w:rPr>
                <w:rFonts w:cs="Times New Roman" w:asciiTheme="minorEastAsia" w:hAnsiTheme="minorEastAsia"/>
                <w:b/>
                <w:bCs/>
                <w:szCs w:val="24"/>
              </w:rPr>
            </w:pPr>
          </w:p>
          <w:p>
            <w:pPr>
              <w:adjustRightInd w:val="0"/>
              <w:snapToGrid w:val="0"/>
              <w:spacing w:line="400" w:lineRule="exact"/>
              <w:ind w:firstLine="0" w:firstLineChars="0"/>
              <w:jc w:val="center"/>
              <w:rPr>
                <w:rFonts w:cs="Times New Roman" w:asciiTheme="minorEastAsia" w:hAnsiTheme="minorEastAsia"/>
                <w:b/>
                <w:bCs/>
                <w:szCs w:val="24"/>
              </w:rPr>
            </w:pPr>
          </w:p>
          <w:p>
            <w:pPr>
              <w:adjustRightInd w:val="0"/>
              <w:snapToGrid w:val="0"/>
              <w:spacing w:line="400" w:lineRule="exact"/>
              <w:ind w:firstLine="0" w:firstLineChars="0"/>
              <w:jc w:val="center"/>
              <w:rPr>
                <w:rFonts w:cs="Times New Roman" w:asciiTheme="minorEastAsia" w:hAnsiTheme="minorEastAsia"/>
                <w:b/>
                <w:bCs/>
                <w:szCs w:val="24"/>
              </w:rPr>
            </w:pPr>
            <w:r>
              <w:rPr>
                <w:rFonts w:hint="eastAsia" w:cs="Times New Roman" w:asciiTheme="minorEastAsia" w:hAnsiTheme="minorEastAsia"/>
                <w:b/>
                <w:bCs/>
                <w:szCs w:val="24"/>
              </w:rPr>
              <w:t>其他符合性分析</w:t>
            </w:r>
          </w:p>
        </w:tc>
        <w:tc>
          <w:tcPr>
            <w:tcW w:w="7130" w:type="dxa"/>
            <w:gridSpan w:val="5"/>
            <w:vAlign w:val="center"/>
          </w:tcPr>
          <w:p>
            <w:pPr>
              <w:ind w:firstLine="482"/>
              <w:rPr>
                <w:b/>
              </w:rPr>
            </w:pPr>
            <w:r>
              <w:rPr>
                <w:rFonts w:hint="eastAsia"/>
                <w:b/>
              </w:rPr>
              <w:t>1、三线一单符合性</w:t>
            </w:r>
          </w:p>
          <w:p>
            <w:pPr>
              <w:ind w:firstLine="480"/>
            </w:pPr>
            <w:r>
              <w:rPr>
                <w:rFonts w:hint="eastAsia"/>
              </w:rPr>
              <w:t>（1）生态保护红线</w:t>
            </w:r>
          </w:p>
          <w:p>
            <w:pPr>
              <w:widowControl/>
              <w:ind w:firstLine="480"/>
              <w:jc w:val="left"/>
              <w:rPr>
                <w:rFonts w:ascii="宋体" w:hAnsi="宋体" w:eastAsia="宋体" w:cs="宋体"/>
                <w:kern w:val="0"/>
                <w:szCs w:val="24"/>
                <w:lang w:bidi="ar"/>
              </w:rPr>
            </w:pPr>
            <w:r>
              <w:rPr>
                <w:rFonts w:hint="eastAsia" w:ascii="宋体" w:hAnsi="宋体" w:eastAsia="宋体" w:cs="宋体"/>
                <w:kern w:val="0"/>
                <w:szCs w:val="24"/>
                <w:lang w:bidi="ar"/>
              </w:rPr>
              <w:t>姚安县龙岗卫生院项目，位于姚安县栋川镇下新屯村委会，项目区不涉及文物保护单位、自然保护区、风景名胜区、森林公园等环境敏感区和特殊功能生态区。根据楚雄彝族自治州人民政府文件《楚雄州人民政府关于印发楚雄州“三线一单”生态环境分区管控实施方案的通知》（楚政通（2021）22号）：执行省人民政府发布的《云南省生态保护红线》，将未划入生态保护红线的自然保护地、饮用水水源保护区、重要湿地、基本草原、生态公益林、天然林等生态功能重要、生态环境敏感区域划为一般生态空间。结合《云南省人民政府关于发布云南省生态保护红线的通知》（云政发</w:t>
            </w:r>
            <w:r>
              <w:rPr>
                <w:rFonts w:ascii="宋体" w:hAnsi="宋体" w:eastAsia="宋体" w:cs="宋体"/>
                <w:kern w:val="0"/>
                <w:szCs w:val="24"/>
                <w:lang w:bidi="ar"/>
              </w:rPr>
              <w:t xml:space="preserve">[2018]32 </w:t>
            </w:r>
            <w:r>
              <w:rPr>
                <w:rFonts w:hint="eastAsia" w:ascii="宋体" w:hAnsi="宋体" w:eastAsia="宋体" w:cs="宋体"/>
                <w:kern w:val="0"/>
                <w:szCs w:val="24"/>
                <w:lang w:bidi="ar"/>
              </w:rPr>
              <w:t>号）中生态保护红线的划定对象要求，项目区不在《云南省生态保护红线》功能区范围内。</w:t>
            </w:r>
          </w:p>
          <w:p>
            <w:pPr>
              <w:widowControl/>
              <w:ind w:firstLine="480"/>
              <w:jc w:val="left"/>
            </w:pPr>
            <w:r>
              <w:rPr>
                <w:rFonts w:hint="eastAsia" w:ascii="宋体" w:hAnsi="宋体" w:eastAsia="宋体" w:cs="宋体"/>
                <w:kern w:val="0"/>
                <w:szCs w:val="24"/>
                <w:lang w:bidi="ar"/>
              </w:rPr>
              <w:t>本项目位于云南省楚雄州</w:t>
            </w:r>
            <w:r>
              <w:rPr>
                <w:rFonts w:hint="eastAsia" w:eastAsia="宋体" w:cs="Times New Roman" w:asciiTheme="minorEastAsia" w:hAnsiTheme="minorEastAsia"/>
                <w:szCs w:val="24"/>
              </w:rPr>
              <w:t>姚安县栋川镇下新屯村委会</w:t>
            </w:r>
            <w:r>
              <w:rPr>
                <w:rFonts w:hint="eastAsia" w:ascii="宋体" w:hAnsi="宋体" w:eastAsia="宋体" w:cs="宋体"/>
                <w:kern w:val="0"/>
                <w:szCs w:val="24"/>
                <w:lang w:bidi="ar"/>
              </w:rPr>
              <w:t>，属于城镇建成区，项目区不涉及占用生态保护红线，即不在《生态保护红线》确定的生态红线范围之内，因此项目建设符合生态红线要求。</w:t>
            </w:r>
          </w:p>
          <w:p>
            <w:pPr>
              <w:ind w:firstLine="480"/>
            </w:pPr>
            <w:r>
              <w:rPr>
                <w:rFonts w:hint="eastAsia"/>
              </w:rPr>
              <w:t>（2）环境质量底线</w:t>
            </w:r>
          </w:p>
          <w:p>
            <w:pPr>
              <w:ind w:firstLine="480"/>
            </w:pPr>
            <w:r>
              <w:rPr>
                <w:rFonts w:hint="eastAsia"/>
              </w:rPr>
              <w:t>根据楚雄彝族自治州人民政府文件《楚雄州人民政府关于印发楚雄州“三线一单”生态环境分区管控实施方案的通知》（楚政通（2021）22号）环境质量底线：</w:t>
            </w:r>
          </w:p>
          <w:p>
            <w:pPr>
              <w:ind w:firstLine="480"/>
            </w:pPr>
            <w:r>
              <w:rPr>
                <w:rFonts w:ascii="Calibri" w:hAnsi="Calibri" w:cs="Calibri"/>
              </w:rPr>
              <w:t>①</w:t>
            </w:r>
            <w:r>
              <w:rPr>
                <w:rFonts w:hint="eastAsia"/>
              </w:rPr>
              <w:t>水环境质量底线。到2025年，国控、省控地表水监测断面水质优良率高于全国全省平均水平，重点区域、流域水环境质量进一步改善，全面消除劣Ⅴ类水体，集中式饮用水水源水质巩固改善。到2035年，地表水体水质优良率全面提升，各监测断面水质达到水环境功能要求，全面消除Ⅴ类及以下水体，集中式饮用水水源水质稳定达标。</w:t>
            </w:r>
          </w:p>
          <w:p>
            <w:pPr>
              <w:ind w:firstLine="480"/>
            </w:pPr>
            <w:r>
              <w:rPr>
                <w:rFonts w:ascii="Calibri" w:hAnsi="Calibri" w:cs="Calibri"/>
              </w:rPr>
              <w:t>②</w:t>
            </w:r>
            <w:r>
              <w:rPr>
                <w:rFonts w:hint="eastAsia"/>
              </w:rPr>
              <w:t>大气环境质量底线。到2025年，环境空气质量稳中向好，10县市城市环境空气质量稳定达到国家二级标准。到2035年，环境空气质量全面改善，10县市城市环境空气质量优于国家一级标准天数逐步提高。</w:t>
            </w:r>
          </w:p>
          <w:p>
            <w:pPr>
              <w:ind w:firstLine="480"/>
            </w:pPr>
            <w:r>
              <w:rPr>
                <w:rFonts w:ascii="Calibri" w:hAnsi="Calibri" w:cs="Calibri"/>
              </w:rPr>
              <w:t>③</w:t>
            </w:r>
            <w:r>
              <w:rPr>
                <w:rFonts w:hint="eastAsia"/>
              </w:rPr>
              <w:t>土壤环境风险防控底线。到2025年，土壤环境风险防范体系进一步完善，受污染耕地安全利用率和污染地块安全利用率进一步提高。到2035年，土壤环境质量稳中向好，农用地和建设用地土壤环境安全得到有效保障，土壤环境风险得到全面管控。</w:t>
            </w:r>
          </w:p>
          <w:p>
            <w:pPr>
              <w:widowControl/>
              <w:ind w:firstLine="480"/>
              <w:jc w:val="left"/>
            </w:pPr>
            <w:r>
              <w:rPr>
                <w:rFonts w:hint="eastAsia" w:ascii="宋体" w:hAnsi="宋体" w:eastAsia="宋体" w:cs="宋体"/>
                <w:kern w:val="0"/>
                <w:szCs w:val="24"/>
                <w:lang w:bidi="ar"/>
              </w:rPr>
              <w:t>项目所在区域的环境空气、地表水、声环境等环境现状均能满足相应的标准要求。企业在严格采取设计及本环评所提措施后，项目施工及运营期对外环境的影响较小，不会改变区域环境功能，符合环境质量底线要求，因此项目所在区域环境质量良好，未超出环境质量底线。</w:t>
            </w:r>
          </w:p>
          <w:p>
            <w:pPr>
              <w:ind w:firstLine="480"/>
            </w:pPr>
            <w:r>
              <w:rPr>
                <w:rFonts w:hint="eastAsia"/>
              </w:rPr>
              <w:t>（3）资源利用上线</w:t>
            </w:r>
          </w:p>
          <w:p>
            <w:pPr>
              <w:ind w:firstLine="480"/>
            </w:pPr>
            <w:r>
              <w:rPr>
                <w:rFonts w:hint="eastAsia"/>
              </w:rPr>
              <w:t>根据楚雄彝族自治州人民政府文件《楚雄州人民政府关于印发楚雄州“三线一单”生态环境分区管控实施方案的通知》（楚政通（2021）22号）资源利用上线：</w:t>
            </w:r>
          </w:p>
          <w:p>
            <w:pPr>
              <w:widowControl/>
              <w:ind w:firstLine="480"/>
              <w:jc w:val="left"/>
              <w:rPr>
                <w:rFonts w:ascii="宋体" w:hAnsi="宋体" w:eastAsia="宋体" w:cs="宋体"/>
                <w:kern w:val="0"/>
                <w:szCs w:val="24"/>
                <w:lang w:bidi="ar"/>
              </w:rPr>
            </w:pPr>
            <w:r>
              <w:rPr>
                <w:rFonts w:ascii="Calibri" w:hAnsi="Calibri" w:eastAsia="宋体" w:cs="Calibri"/>
                <w:kern w:val="0"/>
                <w:szCs w:val="24"/>
                <w:lang w:bidi="ar"/>
              </w:rPr>
              <w:t>①</w:t>
            </w:r>
            <w:r>
              <w:rPr>
                <w:rFonts w:hint="eastAsia" w:ascii="宋体" w:hAnsi="宋体" w:eastAsia="宋体" w:cs="宋体"/>
                <w:kern w:val="0"/>
                <w:szCs w:val="24"/>
                <w:lang w:bidi="ar"/>
              </w:rPr>
              <w:t>水资源利用上线。落实最严格水资源管理制度，稳定达到水资源利用“ 三条红线” 控制指标考核要求。2025年，各县市用水总量、用水效率（万元GDP用水量、万元工业增加值用水量、农田灌溉水有效利用系数）、重要江河湖泊水功能区水质达标率满足水资源利用上线的管控要求。</w:t>
            </w:r>
          </w:p>
          <w:p>
            <w:pPr>
              <w:widowControl/>
              <w:ind w:firstLine="480"/>
              <w:jc w:val="left"/>
              <w:rPr>
                <w:rFonts w:ascii="宋体" w:hAnsi="宋体" w:eastAsia="宋体" w:cs="宋体"/>
                <w:kern w:val="0"/>
                <w:szCs w:val="24"/>
                <w:lang w:bidi="ar"/>
              </w:rPr>
            </w:pPr>
            <w:r>
              <w:rPr>
                <w:rFonts w:ascii="Calibri" w:hAnsi="Calibri" w:eastAsia="宋体" w:cs="Calibri"/>
                <w:kern w:val="0"/>
                <w:szCs w:val="24"/>
                <w:lang w:bidi="ar"/>
              </w:rPr>
              <w:t>②</w:t>
            </w:r>
            <w:r>
              <w:rPr>
                <w:rFonts w:hint="eastAsia" w:ascii="宋体" w:hAnsi="宋体" w:eastAsia="宋体" w:cs="宋体"/>
                <w:kern w:val="0"/>
                <w:szCs w:val="24"/>
                <w:lang w:bidi="ar"/>
              </w:rPr>
              <w:t>土地资源利用上线。落实最严格的耕地保护制度。2025年，各县市土地利用达到自然资源和规划、住建等部门对土地资源开发利用总量及强度的土地资源利用上线管控要求。</w:t>
            </w:r>
          </w:p>
          <w:p>
            <w:pPr>
              <w:widowControl/>
              <w:ind w:firstLine="480"/>
              <w:jc w:val="left"/>
              <w:rPr>
                <w:rFonts w:ascii="宋体" w:hAnsi="宋体" w:eastAsia="宋体" w:cs="宋体"/>
                <w:kern w:val="0"/>
                <w:szCs w:val="24"/>
                <w:lang w:bidi="ar"/>
              </w:rPr>
            </w:pPr>
            <w:r>
              <w:rPr>
                <w:rFonts w:ascii="Calibri" w:hAnsi="Calibri" w:eastAsia="宋体" w:cs="Calibri"/>
                <w:kern w:val="0"/>
                <w:szCs w:val="24"/>
                <w:lang w:bidi="ar"/>
              </w:rPr>
              <w:t>③</w:t>
            </w:r>
            <w:r>
              <w:rPr>
                <w:rFonts w:hint="eastAsia" w:ascii="宋体" w:hAnsi="宋体" w:eastAsia="宋体" w:cs="宋体"/>
                <w:kern w:val="0"/>
                <w:szCs w:val="24"/>
                <w:lang w:bidi="ar"/>
              </w:rPr>
              <w:t>能源利用上线。严格落实能耗“ 双控” 制度。2025年全州单位GDP能耗、能源消耗总量等满足能源利用上线的管控要求。</w:t>
            </w:r>
          </w:p>
          <w:p>
            <w:pPr>
              <w:widowControl/>
              <w:ind w:firstLine="480"/>
              <w:jc w:val="left"/>
              <w:rPr>
                <w:kern w:val="0"/>
              </w:rPr>
            </w:pPr>
            <w:r>
              <w:rPr>
                <w:rFonts w:hint="eastAsia" w:ascii="宋体" w:hAnsi="宋体" w:eastAsia="宋体" w:cs="宋体"/>
                <w:kern w:val="0"/>
                <w:szCs w:val="24"/>
                <w:lang w:bidi="ar"/>
              </w:rPr>
              <w:t>本项目运营过程中消耗一定量的电能、水资源等资源，项目资源的消耗量相对区域资源利用总量较少，符合资源利用上线的要求</w:t>
            </w:r>
            <w:r>
              <w:rPr>
                <w:rFonts w:hint="eastAsia"/>
                <w:kern w:val="0"/>
              </w:rPr>
              <w:t>。</w:t>
            </w:r>
          </w:p>
          <w:p>
            <w:pPr>
              <w:ind w:firstLine="480"/>
            </w:pPr>
            <w:r>
              <w:rPr>
                <w:rFonts w:hint="eastAsia"/>
              </w:rPr>
              <w:t>（4）生态环境准入清单</w:t>
            </w:r>
          </w:p>
          <w:p>
            <w:pPr>
              <w:widowControl/>
              <w:ind w:firstLine="480"/>
              <w:jc w:val="left"/>
            </w:pPr>
            <w:r>
              <w:rPr>
                <w:rFonts w:hint="eastAsia"/>
              </w:rPr>
              <w:t>根据楚雄彝族自治州人民政府文件《楚雄州人民政府关于印发楚雄州“三线一单”生态环境分区管控实施方案的通知》（楚政通（2021）22号），楚雄州生态环境管控总体要求见表1-1，楚雄州优先保护单元、一般保护单元生态环境准入清单详见表1-2。</w:t>
            </w:r>
          </w:p>
          <w:p>
            <w:pPr>
              <w:widowControl/>
              <w:spacing w:line="0" w:lineRule="atLeast"/>
              <w:ind w:firstLine="0" w:firstLineChars="0"/>
              <w:jc w:val="center"/>
              <w:rPr>
                <w:rFonts w:ascii="宋体" w:hAnsi="宋体" w:eastAsia="宋体" w:cs="宋体"/>
                <w:b/>
                <w:bCs/>
                <w:kern w:val="0"/>
                <w:szCs w:val="24"/>
                <w:lang w:bidi="ar"/>
              </w:rPr>
            </w:pPr>
            <w:r>
              <w:rPr>
                <w:rFonts w:hint="eastAsia" w:ascii="宋体" w:hAnsi="宋体" w:eastAsia="宋体" w:cs="宋体"/>
                <w:b/>
                <w:bCs/>
                <w:kern w:val="0"/>
                <w:szCs w:val="24"/>
                <w:lang w:bidi="ar"/>
              </w:rPr>
              <w:t>表1-1  楚雄州生态环境管控总体要求</w:t>
            </w:r>
          </w:p>
          <w:tbl>
            <w:tblPr>
              <w:tblStyle w:val="37"/>
              <w:tblpPr w:leftFromText="180" w:rightFromText="180" w:vertAnchor="text" w:horzAnchor="page" w:tblpX="120" w:tblpY="483"/>
              <w:tblOverlap w:val="never"/>
              <w:tblW w:w="6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3664"/>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管控领域</w:t>
                  </w:r>
                </w:p>
              </w:tc>
              <w:tc>
                <w:tcPr>
                  <w:tcW w:w="3664"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准入要求</w:t>
                  </w:r>
                </w:p>
              </w:tc>
              <w:tc>
                <w:tcPr>
                  <w:tcW w:w="2378"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本项目符合性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空间布局约束</w:t>
                  </w:r>
                </w:p>
              </w:tc>
              <w:tc>
                <w:tcPr>
                  <w:tcW w:w="3664"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1）严格落实国家产业政策。将资源承载能力、生态环境容量作为承接产业转移的基础和前提，合理确定承接产业转移重点，禁止引进环境污染大、资源消耗高、技术落后的生产能力。严禁以任何名义、任何方式核准或备案产能严重过剩行业的增加产能项目。</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（2）严格按照《云南省长江经济带发展负面清单指南实施细则</w:t>
                  </w:r>
                  <w:r>
                    <w:rPr>
                      <w:rFonts w:hint="eastAsia" w:ascii="宋体" w:hAnsi="宋体" w:eastAsia="宋体" w:cs="宋体"/>
                      <w:kern w:val="0"/>
                      <w:sz w:val="21"/>
                      <w:szCs w:val="21"/>
                      <w:lang w:eastAsia="zh-CN" w:bidi="ar"/>
                    </w:rPr>
                    <w:t>（试行）》</w:t>
                  </w:r>
                  <w:r>
                    <w:rPr>
                      <w:rFonts w:hint="eastAsia" w:ascii="宋体" w:hAnsi="宋体" w:eastAsia="宋体" w:cs="宋体"/>
                      <w:kern w:val="0"/>
                      <w:sz w:val="21"/>
                      <w:szCs w:val="21"/>
                      <w:lang w:bidi="ar"/>
                    </w:rPr>
                    <w:t>要求，禁止在金沙江、长江一级支流（南广河、赤水河）岸线边界 1 公里范围内新建、扩建化工园区和化工项目。禁止在合规园区外新建、扩建钢铁、石化、化工、焦化、建材、有色等高污染项目。</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（3）禁止在金沙江、长江一级支流（南广河、赤水河）建设除党中央、国务院、国家投资主管部门、省级有关部门批复同意以外的过江基础设施项目。禁止在金沙江岸线 3 公里、长江一级支流岸线（南广河、赤水河）1 公里范围内新建、改建、扩建尾矿库。</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（4）在永久基本农田集中区域，不得新建可能造成土壤污染的建设项目；已建成的应当限期关闭拆除。拟开发为农用地的未利用地，要开展土壤环境质量状况评估，不符合相应标准的，不得种植食用农产品。</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5）在天然气干、支线可以覆盖的地区原则上不再新建、改建、扩建以煤（油）为燃料的项目。全州产业聚集区集中建设热电联产机组或大型集中供热设施，逐步淘汰分散燃煤锅炉。在不具备热电联产集中供热条件的地区，现有多台燃煤小锅炉的，可按照等容量替代原则建设大容量燃煤锅炉。</w:t>
                  </w:r>
                </w:p>
              </w:tc>
              <w:tc>
                <w:tcPr>
                  <w:tcW w:w="2378"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（1）本项属于《产业结构调整指导目录（</w:t>
                  </w:r>
                  <w:r>
                    <w:rPr>
                      <w:rFonts w:eastAsia="宋体" w:cs="Times New Roman"/>
                      <w:kern w:val="0"/>
                      <w:sz w:val="21"/>
                      <w:szCs w:val="21"/>
                      <w:lang w:bidi="ar"/>
                    </w:rPr>
                    <w:t xml:space="preserve">2019 </w:t>
                  </w:r>
                  <w:r>
                    <w:rPr>
                      <w:rFonts w:hint="eastAsia" w:ascii="宋体" w:hAnsi="宋体" w:eastAsia="宋体" w:cs="宋体"/>
                      <w:kern w:val="0"/>
                      <w:sz w:val="21"/>
                      <w:szCs w:val="21"/>
                      <w:lang w:bidi="ar"/>
                    </w:rPr>
                    <w:t>年本）》规定中鼓励类项目（第三十七款</w:t>
                  </w:r>
                  <w:r>
                    <w:rPr>
                      <w:rFonts w:eastAsia="宋体" w:cs="Times New Roman"/>
                      <w:kern w:val="0"/>
                      <w:sz w:val="21"/>
                      <w:szCs w:val="21"/>
                      <w:lang w:bidi="ar"/>
                    </w:rPr>
                    <w:t>“</w:t>
                  </w:r>
                  <w:r>
                    <w:rPr>
                      <w:rFonts w:hint="eastAsia" w:ascii="宋体" w:hAnsi="宋体" w:eastAsia="宋体" w:cs="宋体"/>
                      <w:kern w:val="0"/>
                      <w:sz w:val="21"/>
                      <w:szCs w:val="21"/>
                      <w:lang w:bidi="ar"/>
                    </w:rPr>
                    <w:t>卫生健康</w:t>
                  </w:r>
                  <w:r>
                    <w:rPr>
                      <w:rFonts w:eastAsia="宋体" w:cs="Times New Roman"/>
                      <w:kern w:val="0"/>
                      <w:sz w:val="21"/>
                      <w:szCs w:val="21"/>
                      <w:lang w:bidi="ar"/>
                    </w:rPr>
                    <w:t>”</w:t>
                  </w:r>
                  <w:r>
                    <w:rPr>
                      <w:rFonts w:hint="eastAsia" w:ascii="宋体" w:hAnsi="宋体" w:eastAsia="宋体" w:cs="宋体"/>
                      <w:kern w:val="0"/>
                      <w:sz w:val="21"/>
                      <w:szCs w:val="21"/>
                      <w:lang w:bidi="ar"/>
                    </w:rPr>
                    <w:t xml:space="preserve">中第 </w:t>
                  </w:r>
                  <w:r>
                    <w:rPr>
                      <w:rFonts w:eastAsia="宋体" w:cs="Times New Roman"/>
                      <w:kern w:val="0"/>
                      <w:sz w:val="21"/>
                      <w:szCs w:val="21"/>
                      <w:lang w:bidi="ar"/>
                    </w:rPr>
                    <w:t xml:space="preserve">5 </w:t>
                  </w:r>
                  <w:r>
                    <w:rPr>
                      <w:rFonts w:hint="eastAsia" w:ascii="宋体" w:hAnsi="宋体" w:eastAsia="宋体" w:cs="宋体"/>
                      <w:kern w:val="0"/>
                      <w:sz w:val="21"/>
                      <w:szCs w:val="21"/>
                      <w:lang w:bidi="ar"/>
                    </w:rPr>
                    <w:t>条医疗卫生服务设施建设）。因此，本项目的建设符合国家有关产业政策.</w:t>
                  </w:r>
                </w:p>
                <w:p>
                  <w:pPr>
                    <w:widowControl/>
                    <w:spacing w:line="0" w:lineRule="atLeast"/>
                    <w:ind w:firstLine="0" w:firstLineChars="0"/>
                    <w:rPr>
                      <w:kern w:val="0"/>
                      <w:sz w:val="21"/>
                      <w:szCs w:val="21"/>
                    </w:rPr>
                  </w:pPr>
                  <w:r>
                    <w:rPr>
                      <w:rFonts w:hint="eastAsia"/>
                      <w:kern w:val="0"/>
                      <w:sz w:val="21"/>
                      <w:szCs w:val="21"/>
                    </w:rPr>
                    <w:t>（2）本项目与《云南省长江经济带发展负面清单指南（试行）》符合。</w:t>
                  </w:r>
                </w:p>
                <w:p>
                  <w:pPr>
                    <w:widowControl/>
                    <w:spacing w:line="0" w:lineRule="atLeast"/>
                    <w:ind w:firstLine="0" w:firstLineChars="0"/>
                    <w:rPr>
                      <w:rFonts w:ascii="宋体" w:hAnsi="宋体" w:eastAsia="宋体" w:cs="宋体"/>
                      <w:kern w:val="0"/>
                      <w:sz w:val="21"/>
                      <w:szCs w:val="21"/>
                      <w:lang w:bidi="ar"/>
                    </w:rPr>
                  </w:pPr>
                  <w:r>
                    <w:rPr>
                      <w:rFonts w:hint="eastAsia" w:eastAsia="宋体"/>
                      <w:kern w:val="0"/>
                      <w:sz w:val="21"/>
                      <w:szCs w:val="21"/>
                    </w:rPr>
                    <w:t>（3）</w:t>
                  </w:r>
                  <w:r>
                    <w:rPr>
                      <w:rFonts w:hint="eastAsia" w:cs="Times New Roman" w:asciiTheme="minorEastAsia" w:hAnsiTheme="minorEastAsia"/>
                      <w:sz w:val="21"/>
                      <w:szCs w:val="21"/>
                    </w:rPr>
                    <w:t>姚安县龙岗卫生院项目，位于姚安县栋川镇下新屯村委会，不</w:t>
                  </w:r>
                  <w:r>
                    <w:rPr>
                      <w:rFonts w:hint="eastAsia" w:ascii="宋体" w:hAnsi="宋体" w:eastAsia="宋体" w:cs="宋体"/>
                      <w:kern w:val="0"/>
                      <w:sz w:val="21"/>
                      <w:szCs w:val="21"/>
                      <w:lang w:bidi="ar"/>
                    </w:rPr>
                    <w:t>在金沙江、长江3公里范围内。</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（4）</w:t>
                  </w:r>
                  <w:r>
                    <w:rPr>
                      <w:rFonts w:hint="eastAsia" w:cs="Times New Roman" w:asciiTheme="minorEastAsia" w:hAnsiTheme="minorEastAsia"/>
                      <w:sz w:val="21"/>
                      <w:szCs w:val="21"/>
                    </w:rPr>
                    <w:t>姚安县龙岗卫生院项目，位于姚安县栋川镇下新屯村委会，属于城镇建成区，</w:t>
                  </w:r>
                  <w:r>
                    <w:rPr>
                      <w:rFonts w:hint="eastAsia" w:ascii="宋体" w:hAnsi="宋体" w:eastAsia="宋体" w:cs="宋体"/>
                      <w:kern w:val="0"/>
                      <w:sz w:val="21"/>
                      <w:szCs w:val="21"/>
                      <w:lang w:bidi="ar"/>
                    </w:rPr>
                    <w:t>本项目不占用基本农田。</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（5）本项目不涉及锅炉建设。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污染物排放管控</w:t>
                  </w:r>
                </w:p>
              </w:tc>
              <w:tc>
                <w:tcPr>
                  <w:tcW w:w="3664"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（1）严格控制缺水地区、水污染严重地区和敏感区域高耗水、高污染行业发展，新建、改建、扩建重点行业建设项目实行主要水污染物排放减量置换。</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2）严格保护城乡饮用水水源地，整治饮用水源保护区内的污染源，确保饮水安全。实现城镇生活污水、生活垃圾处理设施全覆盖和稳定运行。推进农村面源污染治理。对入驻企业较少，主要产生生活污水，工业污水中不含有毒有害物质的工业集中区，其污水可就近依托城镇污水处理厂进行处理；对工业污水排放量较小的工业集中区，可依托工业企业治污设施处理后达标排放。新建冶金、电镀、有色金属、化工、印染、制革、原料药制造等企业，原则上布局在符合产业定位的园区，其排放的污水由园区污水处理厂集中处理。</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（3）加大 VOCs 减排力度，扎实推动 PM2.5 和臭氧协同控制，有效巩固环境空气质量优良天数比例。在持续推进氮氧化物减排的基础上，重点加大石化、化工及含挥发性有机化合物产品制造企业和喷漆、制鞋、印刷、电子、服装干洗等行业清洁生产和污染治理力度，逐步淘汰挥发性有机化合物含量高的产品生产和使用，严控生产过程中逃逸性有机气体的排放。</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4）加强土壤污染防治，对农用地实施分类管理，对重点行业企业建设用地实行环境准入管理，进入各使用环节（储备、转让、收回以及改变用途）之前应按照规定进行土壤污染状况调查，动态更新土壤环境污染重点监管企业名单，实施土壤污染环境风险管控和修复名录制度，对污染地块开发利用实行联动监管。</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（5）提高钢铁、水泥等高耗能产业减量置换比例，把高能效和低碳排放纳入产能减量置换门槛，明确重点行业二氧化碳排放达峰目标，控制工业、交通、建筑等行业温室气体排放。</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（6）全州主要污染物总量控制目标达到省级考核要求。</w:t>
                  </w:r>
                </w:p>
              </w:tc>
              <w:tc>
                <w:tcPr>
                  <w:tcW w:w="2378"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（1）本项目为卫生院建设项目，属于民生建设工程，不属于高耗水、高污染行业。</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（2）</w:t>
                  </w:r>
                  <w:r>
                    <w:rPr>
                      <w:rFonts w:hint="eastAsia" w:cs="Times New Roman" w:asciiTheme="minorEastAsia" w:hAnsiTheme="minorEastAsia"/>
                      <w:sz w:val="21"/>
                      <w:szCs w:val="21"/>
                    </w:rPr>
                    <w:t>姚安县龙岗卫生院项目，位于姚安县栋川镇下新屯村委会，属于城镇建成区，不属于</w:t>
                  </w:r>
                  <w:r>
                    <w:rPr>
                      <w:rFonts w:hint="eastAsia" w:ascii="宋体" w:hAnsi="宋体" w:eastAsia="宋体" w:cs="宋体"/>
                      <w:kern w:val="0"/>
                      <w:sz w:val="21"/>
                      <w:szCs w:val="21"/>
                      <w:lang w:bidi="ar"/>
                    </w:rPr>
                    <w:t>城乡饮用水水源地保护区。</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（3）本项目为卫生院建设项目，不涉及 VOCs产排。</w:t>
                  </w:r>
                </w:p>
                <w:p>
                  <w:pPr>
                    <w:widowControl/>
                    <w:spacing w:line="0" w:lineRule="atLeast"/>
                    <w:ind w:firstLine="0" w:firstLineChars="0"/>
                    <w:rPr>
                      <w:rFonts w:cs="Times New Roman" w:asciiTheme="minorEastAsia" w:hAnsiTheme="minorEastAsia"/>
                      <w:sz w:val="21"/>
                      <w:szCs w:val="21"/>
                    </w:rPr>
                  </w:pPr>
                  <w:r>
                    <w:rPr>
                      <w:rFonts w:hint="eastAsia" w:ascii="宋体" w:hAnsi="宋体" w:eastAsia="宋体" w:cs="宋体"/>
                      <w:kern w:val="0"/>
                      <w:sz w:val="21"/>
                      <w:szCs w:val="21"/>
                      <w:lang w:bidi="ar"/>
                    </w:rPr>
                    <w:t>（4）</w:t>
                  </w:r>
                  <w:r>
                    <w:rPr>
                      <w:rFonts w:hint="eastAsia" w:cs="Times New Roman" w:asciiTheme="minorEastAsia" w:hAnsiTheme="minorEastAsia"/>
                      <w:sz w:val="21"/>
                      <w:szCs w:val="21"/>
                    </w:rPr>
                    <w:t>姚安县龙岗卫生院项目，位于姚安县栋川镇下新屯村委会，属于城镇建成区，项目建设对土壤影响较小。</w:t>
                  </w:r>
                </w:p>
                <w:p>
                  <w:pPr>
                    <w:widowControl/>
                    <w:spacing w:line="0" w:lineRule="atLeast"/>
                    <w:ind w:firstLine="0" w:firstLineChars="0"/>
                    <w:rPr>
                      <w:rFonts w:ascii="宋体" w:hAnsi="宋体" w:eastAsia="宋体" w:cs="宋体"/>
                      <w:kern w:val="0"/>
                      <w:sz w:val="21"/>
                      <w:szCs w:val="21"/>
                      <w:lang w:bidi="ar"/>
                    </w:rPr>
                  </w:pPr>
                  <w:r>
                    <w:rPr>
                      <w:rFonts w:hint="eastAsia" w:cs="Times New Roman" w:asciiTheme="minorEastAsia" w:hAnsiTheme="minorEastAsia"/>
                      <w:sz w:val="21"/>
                      <w:szCs w:val="21"/>
                    </w:rPr>
                    <w:t>（5）</w:t>
                  </w:r>
                  <w:r>
                    <w:rPr>
                      <w:rFonts w:hint="eastAsia" w:ascii="宋体" w:hAnsi="宋体" w:eastAsia="宋体" w:cs="宋体"/>
                      <w:kern w:val="0"/>
                      <w:sz w:val="21"/>
                      <w:szCs w:val="21"/>
                      <w:lang w:bidi="ar"/>
                    </w:rPr>
                    <w:t>本项目为卫生院建设项目，属于民生建设工程，不属于高耗水、高污染行业。</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（6）</w:t>
                  </w:r>
                  <w:r>
                    <w:rPr>
                      <w:rFonts w:hint="eastAsia" w:cs="Times New Roman" w:asciiTheme="minorEastAsia" w:hAnsiTheme="minorEastAsia"/>
                      <w:sz w:val="21"/>
                      <w:szCs w:val="21"/>
                    </w:rPr>
                    <w:t>卫生院于1967年建成并运行至今，项目建设符合</w:t>
                  </w:r>
                  <w:r>
                    <w:rPr>
                      <w:rFonts w:hint="eastAsia" w:ascii="宋体" w:hAnsi="宋体" w:eastAsia="宋体" w:cs="宋体"/>
                      <w:kern w:val="0"/>
                      <w:sz w:val="21"/>
                      <w:szCs w:val="21"/>
                      <w:lang w:bidi="ar"/>
                    </w:rPr>
                    <w:t>全州主要污染物总量控制目标达到省级考核要求。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环境风险管控</w:t>
                  </w:r>
                </w:p>
              </w:tc>
              <w:tc>
                <w:tcPr>
                  <w:tcW w:w="3664"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1）以金沙江楚雄段为重点，研究建立环境风险评估体系，定期评估沿江河湖库工业企业、工业集中区环境风险，落实防控措施。重点开展长江流域金沙江楚雄段生态隐患和环境风险调查评估，划定高风险区域。</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（2）强化全州与其他滇中城市的大气污染防治联防联控协作机制，加强区域内重污染天气应急联动。</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3）禁止在环境风险防控重点区域如城乡建设规划区、居民集中区、医院和学校附近、重要水源涵养生态功能区等，以及因环境污染导致环境质量不能稳定达标的区域内新建或扩建可能引发环境风险的项目，如冶金、化工、造纸、危险品生产和储运等。</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4）垃圾处理场、垃圾中转站、污水处理厂、生物发酵、规模化畜禽养殖、屠宰等产生恶臭气体的单位应当科学选址，与机关、学校、医院、居民住宅区等人口集中地区和其他依法需要特殊保护的区域保持符合规定的防护距离。</w:t>
                  </w:r>
                </w:p>
              </w:tc>
              <w:tc>
                <w:tcPr>
                  <w:tcW w:w="2378"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（1）</w:t>
                  </w:r>
                  <w:r>
                    <w:rPr>
                      <w:rFonts w:hint="eastAsia"/>
                      <w:sz w:val="21"/>
                      <w:szCs w:val="21"/>
                    </w:rPr>
                    <w:t>项目为姚安县龙岗卫生院建设项目，涉及的风险物质为酒精、次氯酸钠及氧气，其储存量较小，未达到物质储存临界量，不属于</w:t>
                  </w:r>
                  <w:r>
                    <w:rPr>
                      <w:rFonts w:hint="eastAsia" w:ascii="宋体" w:hAnsi="宋体" w:eastAsia="宋体" w:cs="宋体"/>
                      <w:kern w:val="0"/>
                      <w:sz w:val="21"/>
                      <w:szCs w:val="21"/>
                      <w:lang w:bidi="ar"/>
                    </w:rPr>
                    <w:t>长江流域金沙江楚雄段生态隐患和环境风险划定高风险区域。</w:t>
                  </w:r>
                </w:p>
                <w:p>
                  <w:pPr>
                    <w:widowControl/>
                    <w:spacing w:line="0" w:lineRule="atLeast"/>
                    <w:ind w:firstLine="0" w:firstLineChars="0"/>
                    <w:rPr>
                      <w:sz w:val="21"/>
                      <w:szCs w:val="21"/>
                    </w:rPr>
                  </w:pPr>
                  <w:r>
                    <w:rPr>
                      <w:rFonts w:hint="eastAsia" w:ascii="宋体" w:hAnsi="宋体" w:eastAsia="宋体" w:cs="宋体"/>
                      <w:kern w:val="0"/>
                      <w:sz w:val="21"/>
                      <w:szCs w:val="21"/>
                      <w:lang w:bidi="ar"/>
                    </w:rPr>
                    <w:t>（2）</w:t>
                  </w:r>
                  <w:r>
                    <w:rPr>
                      <w:rFonts w:hint="eastAsia"/>
                      <w:sz w:val="21"/>
                      <w:szCs w:val="21"/>
                    </w:rPr>
                    <w:t>项目为姚安县龙岗卫生院建设项目，不属于环境空气重污染项目。</w:t>
                  </w:r>
                </w:p>
                <w:p>
                  <w:pPr>
                    <w:widowControl/>
                    <w:spacing w:line="0" w:lineRule="atLeast"/>
                    <w:ind w:firstLine="0" w:firstLineChars="0"/>
                    <w:rPr>
                      <w:rFonts w:ascii="宋体" w:hAnsi="宋体" w:eastAsia="宋体" w:cs="宋体"/>
                      <w:kern w:val="0"/>
                      <w:sz w:val="21"/>
                      <w:szCs w:val="21"/>
                      <w:lang w:bidi="ar"/>
                    </w:rPr>
                  </w:pPr>
                  <w:r>
                    <w:rPr>
                      <w:rFonts w:hint="eastAsia"/>
                      <w:sz w:val="21"/>
                      <w:szCs w:val="21"/>
                    </w:rPr>
                    <w:t>（3）</w:t>
                  </w:r>
                  <w:r>
                    <w:rPr>
                      <w:rFonts w:hint="eastAsia" w:cs="Times New Roman" w:asciiTheme="minorEastAsia" w:hAnsiTheme="minorEastAsia"/>
                      <w:sz w:val="21"/>
                      <w:szCs w:val="21"/>
                    </w:rPr>
                    <w:t>姚安县龙岗卫生院项目，位于姚安县栋川镇下新屯村委会，不属于</w:t>
                  </w:r>
                  <w:r>
                    <w:rPr>
                      <w:rFonts w:hint="eastAsia" w:ascii="宋体" w:hAnsi="宋体" w:eastAsia="宋体" w:cs="宋体"/>
                      <w:kern w:val="0"/>
                      <w:sz w:val="21"/>
                      <w:szCs w:val="21"/>
                      <w:lang w:bidi="ar"/>
                    </w:rPr>
                    <w:t>环境风险防控重点区域，项目建设不会引发环境风险。</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（4）本项目为姚安县龙岗卫生院建设项目，不属于限制准入类别。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资源利用效率</w:t>
                  </w:r>
                </w:p>
              </w:tc>
              <w:tc>
                <w:tcPr>
                  <w:tcW w:w="3664"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（1）降低水、土地、矿产资源消耗强度，强化约束性指标管理。</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2）实行最严格的水资源管理制度，严格用水总量、强度指标管理，严格取水管控，建立重点监控取水单位名录，强化重点监控取水单位管理。全州年用水总量、万元工业增加值用水量降幅等指标达到省考核要求。</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 xml:space="preserve"> （3）坚持最严格的耕地保护制度，守住耕地保护红线。坚持节约用地，严格执行耕地占补平衡等制度，提高土地投资强度和单位面积产出水平。</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（4）全州单位 GDP 能耗持续下降，能耗增量控制目标达到省考核要求。</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（5）鼓励全州石化、化工、有色金属冶炼等行业运用工业节水、技术和装备，促进企业废水深度处理回用。</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（6）实施金沙江龙川江等重点流域水库群联合调度，增加枯水期下泄流量，确保生态用水比例只增不降。</w:t>
                  </w:r>
                </w:p>
              </w:tc>
              <w:tc>
                <w:tcPr>
                  <w:tcW w:w="2378"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（1）本项目为卫生院建设项目，项目建设不会提高水、土地、矿产资源消耗强度。</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（2）本项目为卫生院建设项目，项目建设不会提高水资源消耗强度。</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（3）本项目为卫生院建设项目，项目为补办环评手续，项目建设不新增占地。</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（4）本项目为卫生院建设项目，项目为补办环评手续，项目建设不增加能耗。</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（5）本项目为卫生院建设项目，不属于石化、化工、有色金属冶炼等行业。</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（6）本项目为卫生院建设项目，不涉及流域生态用水。</w:t>
                  </w:r>
                </w:p>
              </w:tc>
            </w:tr>
          </w:tbl>
          <w:p>
            <w:pPr>
              <w:widowControl/>
              <w:spacing w:line="0" w:lineRule="atLeast"/>
              <w:ind w:firstLine="0" w:firstLineChars="0"/>
              <w:jc w:val="center"/>
              <w:rPr>
                <w:rFonts w:ascii="宋体" w:hAnsi="宋体" w:eastAsia="宋体" w:cs="宋体"/>
                <w:b/>
                <w:bCs/>
                <w:kern w:val="0"/>
                <w:szCs w:val="24"/>
                <w:lang w:bidi="ar"/>
              </w:rPr>
            </w:pPr>
          </w:p>
          <w:p>
            <w:pPr>
              <w:widowControl/>
              <w:ind w:firstLine="0" w:firstLineChars="0"/>
              <w:jc w:val="center"/>
              <w:rPr>
                <w:rFonts w:ascii="宋体" w:hAnsi="宋体" w:eastAsia="宋体" w:cs="宋体"/>
                <w:b/>
                <w:bCs/>
                <w:kern w:val="0"/>
                <w:szCs w:val="24"/>
                <w:lang w:bidi="ar"/>
              </w:rPr>
            </w:pPr>
            <w:r>
              <w:rPr>
                <w:rFonts w:hint="eastAsia" w:ascii="宋体" w:hAnsi="宋体" w:eastAsia="宋体" w:cs="宋体"/>
                <w:b/>
                <w:bCs/>
                <w:kern w:val="0"/>
                <w:szCs w:val="24"/>
                <w:lang w:bidi="ar"/>
              </w:rPr>
              <w:t>表1-2  楚雄州优先保护单元、一般管控单元生态环境准入清单</w:t>
            </w:r>
          </w:p>
          <w:tbl>
            <w:tblPr>
              <w:tblStyle w:val="37"/>
              <w:tblW w:w="6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16"/>
              <w:gridCol w:w="3330"/>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市县</w:t>
                  </w:r>
                </w:p>
              </w:tc>
              <w:tc>
                <w:tcPr>
                  <w:tcW w:w="916"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单元名称</w:t>
                  </w:r>
                </w:p>
              </w:tc>
              <w:tc>
                <w:tcPr>
                  <w:tcW w:w="3330"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管控要求</w:t>
                  </w:r>
                </w:p>
              </w:tc>
              <w:tc>
                <w:tcPr>
                  <w:tcW w:w="2032"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本项目符合性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各市县优先保护单元</w:t>
                  </w:r>
                </w:p>
              </w:tc>
              <w:tc>
                <w:tcPr>
                  <w:tcW w:w="916"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生态保护红线优先保护单元</w:t>
                  </w:r>
                </w:p>
              </w:tc>
              <w:tc>
                <w:tcPr>
                  <w:tcW w:w="3330"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原则上按照禁止开发区进行管理，生态保护红线相关管控办法出台后，依据其管理规定执行。</w:t>
                  </w:r>
                </w:p>
              </w:tc>
              <w:tc>
                <w:tcPr>
                  <w:tcW w:w="2032"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本项目为卫生院建设项目，项目为补办环评手续，项目符合生态保护红线相关管控办法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widowControl/>
                    <w:spacing w:line="0" w:lineRule="atLeast"/>
                    <w:ind w:firstLine="0" w:firstLineChars="0"/>
                    <w:rPr>
                      <w:rFonts w:ascii="宋体" w:hAnsi="宋体" w:eastAsia="宋体" w:cs="宋体"/>
                      <w:kern w:val="0"/>
                      <w:sz w:val="21"/>
                      <w:szCs w:val="21"/>
                      <w:lang w:bidi="ar"/>
                    </w:rPr>
                  </w:pPr>
                </w:p>
              </w:tc>
              <w:tc>
                <w:tcPr>
                  <w:tcW w:w="916"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一般生态空间优先保护单元</w:t>
                  </w:r>
                </w:p>
              </w:tc>
              <w:tc>
                <w:tcPr>
                  <w:tcW w:w="3330"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（1）执行《云南省人民政府关于实施“ 三线一单” 生态环境分区管控的意见》。原则上按照限制开发区域的要求进行管理，严格限制大规模开发建设活动。以保护和修复生态环境、提供生态产品为首要任务，因地制宜地发展不影响主体功能定位的产业。</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2）未纳入生态保护红线的各类自然保护地按照相关法律法规规定进行管控；重要湿地依据《湿地保护管理规定》、《国务院办公厅关于印发湿地保护修复制度方案的通知》、《云南省湿地保护条例》、《云南省人民政府关于加强湿地保护工作的意见》等进行管理；生态公益林依据《国家级公益林管理办法》、《云南省地方公益林管理办法》进行管理；天然林依据《国家林业局关于严格保护天然林的通知》（林资发〔2015〕181 号）、《天然林保护修复制度方案》的通知（厅字〔2019〕39 号）等进行管理；基本草原依据《中华人民共和国草原法》进行管理。</w:t>
                  </w:r>
                </w:p>
              </w:tc>
              <w:tc>
                <w:tcPr>
                  <w:tcW w:w="2032"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（1）本项目为卫生院建设项目，项目为补办环评手续，项目符合生态保护红线相关管控办法。</w:t>
                  </w:r>
                </w:p>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（2）项目</w:t>
                  </w:r>
                  <w:r>
                    <w:rPr>
                      <w:rFonts w:hint="eastAsia" w:cs="Times New Roman" w:asciiTheme="minorEastAsia" w:hAnsiTheme="minorEastAsia"/>
                      <w:sz w:val="21"/>
                      <w:szCs w:val="21"/>
                    </w:rPr>
                    <w:t>位于姚安县栋川镇下新屯村委会，不属于</w:t>
                  </w:r>
                  <w:r>
                    <w:rPr>
                      <w:rFonts w:hint="eastAsia" w:ascii="宋体" w:hAnsi="宋体" w:eastAsia="宋体" w:cs="宋体"/>
                      <w:kern w:val="0"/>
                      <w:sz w:val="21"/>
                      <w:szCs w:val="21"/>
                      <w:lang w:bidi="ar"/>
                    </w:rPr>
                    <w:t>自然保护地、重要湿地、生态公益林及基本草原范围内。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widowControl/>
                    <w:spacing w:line="0" w:lineRule="atLeast"/>
                    <w:ind w:firstLine="0" w:firstLineChars="0"/>
                    <w:rPr>
                      <w:rFonts w:ascii="宋体" w:hAnsi="宋体" w:eastAsia="宋体" w:cs="宋体"/>
                      <w:kern w:val="0"/>
                      <w:sz w:val="21"/>
                      <w:szCs w:val="21"/>
                      <w:lang w:bidi="ar"/>
                    </w:rPr>
                  </w:pPr>
                </w:p>
              </w:tc>
              <w:tc>
                <w:tcPr>
                  <w:tcW w:w="916"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饮用水源地优先保护单元</w:t>
                  </w:r>
                </w:p>
              </w:tc>
              <w:tc>
                <w:tcPr>
                  <w:tcW w:w="3330"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依据《中华人民共和国水污染防治法》、《饮用水水源保护区污染防治管理规定》进行管理。</w:t>
                  </w:r>
                </w:p>
              </w:tc>
              <w:tc>
                <w:tcPr>
                  <w:tcW w:w="2032" w:type="dxa"/>
                  <w:vAlign w:val="center"/>
                </w:tcPr>
                <w:p>
                  <w:pPr>
                    <w:widowControl/>
                    <w:spacing w:line="0" w:lineRule="atLeast"/>
                    <w:ind w:firstLine="0" w:firstLineChars="0"/>
                    <w:rPr>
                      <w:rFonts w:ascii="宋体" w:hAnsi="宋体" w:cs="宋体"/>
                      <w:kern w:val="0"/>
                      <w:sz w:val="21"/>
                      <w:szCs w:val="21"/>
                      <w:lang w:bidi="ar"/>
                    </w:rPr>
                  </w:pPr>
                  <w:r>
                    <w:rPr>
                      <w:rFonts w:hint="eastAsia" w:ascii="宋体" w:hAnsi="宋体" w:eastAsia="宋体" w:cs="宋体"/>
                      <w:kern w:val="0"/>
                      <w:sz w:val="21"/>
                      <w:szCs w:val="21"/>
                      <w:lang w:bidi="ar"/>
                    </w:rPr>
                    <w:t>项目</w:t>
                  </w:r>
                  <w:r>
                    <w:rPr>
                      <w:rFonts w:hint="eastAsia" w:cs="Times New Roman" w:asciiTheme="minorEastAsia" w:hAnsiTheme="minorEastAsia"/>
                      <w:sz w:val="21"/>
                      <w:szCs w:val="21"/>
                    </w:rPr>
                    <w:t>位于姚安县栋川镇下新屯村委会，不在饮用水源地保护范围内。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各市县一般保护单元</w:t>
                  </w:r>
                </w:p>
              </w:tc>
              <w:tc>
                <w:tcPr>
                  <w:tcW w:w="916"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空间布局约束</w:t>
                  </w:r>
                </w:p>
              </w:tc>
              <w:tc>
                <w:tcPr>
                  <w:tcW w:w="3330"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落实生态环境保护基本要求，项目建设和运行应满足产业准入、总量控制、排放标准等管理规定和国家法律法规要求。</w:t>
                  </w:r>
                </w:p>
              </w:tc>
              <w:tc>
                <w:tcPr>
                  <w:tcW w:w="2032"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cs="Times New Roman" w:asciiTheme="minorEastAsia" w:hAnsiTheme="minorEastAsia"/>
                      <w:sz w:val="21"/>
                      <w:szCs w:val="21"/>
                    </w:rPr>
                    <w:t>项目建设和运行符合</w:t>
                  </w:r>
                  <w:r>
                    <w:rPr>
                      <w:rFonts w:hint="eastAsia" w:ascii="宋体" w:hAnsi="宋体" w:eastAsia="宋体" w:cs="宋体"/>
                      <w:kern w:val="0"/>
                      <w:sz w:val="21"/>
                      <w:szCs w:val="21"/>
                      <w:lang w:bidi="ar"/>
                    </w:rPr>
                    <w:t>产业准入、总量控制、排放标准等管理规定和国家法律法规要求。</w:t>
                  </w:r>
                </w:p>
              </w:tc>
            </w:tr>
          </w:tbl>
          <w:p>
            <w:pPr>
              <w:widowControl/>
              <w:ind w:firstLine="480"/>
              <w:jc w:val="left"/>
              <w:rPr>
                <w:rFonts w:ascii="宋体" w:hAnsi="宋体" w:eastAsia="宋体" w:cs="宋体"/>
                <w:kern w:val="0"/>
                <w:szCs w:val="24"/>
                <w:lang w:bidi="ar"/>
              </w:rPr>
            </w:pPr>
            <w:r>
              <w:rPr>
                <w:rFonts w:hint="eastAsia" w:ascii="宋体" w:hAnsi="宋体" w:eastAsia="宋体" w:cs="宋体"/>
                <w:kern w:val="0"/>
                <w:szCs w:val="24"/>
                <w:lang w:bidi="ar"/>
              </w:rPr>
              <w:t>本项目不属于高污染、高能耗和资源型的产业类型。根据国家发展改革委、商务部关于印发《市场准入负面清单（</w:t>
            </w:r>
            <w:r>
              <w:rPr>
                <w:rFonts w:eastAsia="宋体" w:cs="Times New Roman"/>
                <w:kern w:val="0"/>
                <w:szCs w:val="24"/>
                <w:lang w:bidi="ar"/>
              </w:rPr>
              <w:t xml:space="preserve">2019 </w:t>
            </w:r>
            <w:r>
              <w:rPr>
                <w:rFonts w:hint="eastAsia" w:ascii="宋体" w:hAnsi="宋体" w:eastAsia="宋体" w:cs="宋体"/>
                <w:kern w:val="0"/>
                <w:szCs w:val="24"/>
                <w:lang w:bidi="ar"/>
              </w:rPr>
              <w:t>年版）》的通知，本项目不在《市场准入负面清单（</w:t>
            </w:r>
            <w:r>
              <w:rPr>
                <w:rFonts w:eastAsia="宋体" w:cs="Times New Roman"/>
                <w:kern w:val="0"/>
                <w:szCs w:val="24"/>
                <w:lang w:bidi="ar"/>
              </w:rPr>
              <w:t xml:space="preserve">2019 </w:t>
            </w:r>
            <w:r>
              <w:rPr>
                <w:rFonts w:hint="eastAsia" w:ascii="宋体" w:hAnsi="宋体" w:eastAsia="宋体" w:cs="宋体"/>
                <w:kern w:val="0"/>
                <w:szCs w:val="24"/>
                <w:lang w:bidi="ar"/>
              </w:rPr>
              <w:t>年版）》范围内。属于《产业结构调整指导目录（</w:t>
            </w:r>
            <w:r>
              <w:rPr>
                <w:rFonts w:eastAsia="宋体" w:cs="Times New Roman"/>
                <w:kern w:val="0"/>
                <w:szCs w:val="24"/>
                <w:lang w:bidi="ar"/>
              </w:rPr>
              <w:t xml:space="preserve">2019 </w:t>
            </w:r>
            <w:r>
              <w:rPr>
                <w:rFonts w:hint="eastAsia" w:ascii="宋体" w:hAnsi="宋体" w:eastAsia="宋体" w:cs="宋体"/>
                <w:kern w:val="0"/>
                <w:szCs w:val="24"/>
                <w:lang w:bidi="ar"/>
              </w:rPr>
              <w:t>年本）》规定中鼓励类项目（第三十七款</w:t>
            </w:r>
            <w:r>
              <w:rPr>
                <w:rFonts w:eastAsia="宋体" w:cs="Times New Roman"/>
                <w:kern w:val="0"/>
                <w:szCs w:val="24"/>
                <w:lang w:bidi="ar"/>
              </w:rPr>
              <w:t>“</w:t>
            </w:r>
            <w:r>
              <w:rPr>
                <w:rFonts w:hint="eastAsia" w:ascii="宋体" w:hAnsi="宋体" w:eastAsia="宋体" w:cs="宋体"/>
                <w:kern w:val="0"/>
                <w:szCs w:val="24"/>
                <w:lang w:bidi="ar"/>
              </w:rPr>
              <w:t>卫生健康</w:t>
            </w:r>
            <w:r>
              <w:rPr>
                <w:rFonts w:eastAsia="宋体" w:cs="Times New Roman"/>
                <w:kern w:val="0"/>
                <w:szCs w:val="24"/>
                <w:lang w:bidi="ar"/>
              </w:rPr>
              <w:t>”</w:t>
            </w:r>
            <w:r>
              <w:rPr>
                <w:rFonts w:hint="eastAsia" w:ascii="宋体" w:hAnsi="宋体" w:eastAsia="宋体" w:cs="宋体"/>
                <w:kern w:val="0"/>
                <w:szCs w:val="24"/>
                <w:lang w:bidi="ar"/>
              </w:rPr>
              <w:t xml:space="preserve">中第 </w:t>
            </w:r>
            <w:r>
              <w:rPr>
                <w:rFonts w:eastAsia="宋体" w:cs="Times New Roman"/>
                <w:kern w:val="0"/>
                <w:szCs w:val="24"/>
                <w:lang w:bidi="ar"/>
              </w:rPr>
              <w:t xml:space="preserve">5 </w:t>
            </w:r>
            <w:r>
              <w:rPr>
                <w:rFonts w:hint="eastAsia" w:ascii="宋体" w:hAnsi="宋体" w:eastAsia="宋体" w:cs="宋体"/>
                <w:kern w:val="0"/>
                <w:szCs w:val="24"/>
                <w:lang w:bidi="ar"/>
              </w:rPr>
              <w:t>条医疗卫生服务设施建设）。因此，本项目的建设符合国家有关产业政策。</w:t>
            </w:r>
          </w:p>
          <w:p>
            <w:pPr>
              <w:widowControl/>
              <w:ind w:firstLine="0" w:firstLineChars="0"/>
              <w:jc w:val="center"/>
              <w:rPr>
                <w:rFonts w:ascii="宋体" w:hAnsi="宋体" w:eastAsia="宋体" w:cs="宋体"/>
                <w:b/>
                <w:bCs/>
                <w:kern w:val="0"/>
                <w:szCs w:val="24"/>
                <w:lang w:bidi="ar"/>
              </w:rPr>
            </w:pPr>
            <w:r>
              <w:rPr>
                <w:rFonts w:hint="eastAsia" w:ascii="宋体" w:hAnsi="宋体" w:eastAsia="宋体" w:cs="宋体"/>
                <w:b/>
                <w:bCs/>
                <w:kern w:val="0"/>
                <w:szCs w:val="24"/>
                <w:lang w:bidi="ar"/>
              </w:rPr>
              <w:t>表1-3  产业政策禁止准入清单</w:t>
            </w:r>
          </w:p>
          <w:tbl>
            <w:tblPr>
              <w:tblStyle w:val="37"/>
              <w:tblW w:w="6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3756"/>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禁止准入类别</w:t>
                  </w:r>
                </w:p>
              </w:tc>
              <w:tc>
                <w:tcPr>
                  <w:tcW w:w="3756"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禁止或限制措施描述</w:t>
                  </w:r>
                </w:p>
              </w:tc>
              <w:tc>
                <w:tcPr>
                  <w:tcW w:w="2286"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本项目符合性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不符合产业政策类</w:t>
                  </w:r>
                </w:p>
              </w:tc>
              <w:tc>
                <w:tcPr>
                  <w:tcW w:w="3756"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禁止新建、扩建国家或云南省淘汰类和限制类产业，禁止新建、扩建企业使用淘汰类和限制类工艺或设备，禁止生产、进口、销售不符合产业政策、生态环保标准的产品</w:t>
                  </w:r>
                </w:p>
              </w:tc>
              <w:tc>
                <w:tcPr>
                  <w:tcW w:w="2286" w:type="dxa"/>
                  <w:vAlign w:val="center"/>
                </w:tcPr>
                <w:p>
                  <w:pPr>
                    <w:widowControl/>
                    <w:spacing w:line="0" w:lineRule="atLeast"/>
                    <w:ind w:firstLine="0" w:firstLineChars="0"/>
                    <w:rPr>
                      <w:sz w:val="21"/>
                      <w:szCs w:val="21"/>
                    </w:rPr>
                  </w:pPr>
                  <w:r>
                    <w:rPr>
                      <w:rFonts w:hint="eastAsia" w:ascii="宋体" w:hAnsi="宋体" w:eastAsia="宋体" w:cs="宋体"/>
                      <w:kern w:val="0"/>
                      <w:sz w:val="21"/>
                      <w:szCs w:val="21"/>
                      <w:lang w:bidi="ar"/>
                    </w:rPr>
                    <w:t>本项目符合国家产业政策，生产设备和工艺均不是淘汰和限制类</w:t>
                  </w:r>
                </w:p>
                <w:p>
                  <w:pPr>
                    <w:widowControl/>
                    <w:spacing w:line="0" w:lineRule="atLeast"/>
                    <w:ind w:firstLine="420"/>
                    <w:jc w:val="center"/>
                    <w:rPr>
                      <w:rFonts w:ascii="宋体" w:hAnsi="宋体" w:eastAsia="宋体" w:cs="宋体"/>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不符合用地政策类</w:t>
                  </w:r>
                </w:p>
              </w:tc>
              <w:tc>
                <w:tcPr>
                  <w:tcW w:w="3756"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禁止建设《禁止用地项目目录》中的产业或项目；禁止建设不符合土地利用规划的项目</w:t>
                  </w:r>
                </w:p>
              </w:tc>
              <w:tc>
                <w:tcPr>
                  <w:tcW w:w="2286"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本项目不属于《禁止用地项目目录》中的项目，用地为建设用地，符合土地利用规划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不符合规划类</w:t>
                  </w:r>
                </w:p>
              </w:tc>
              <w:tc>
                <w:tcPr>
                  <w:tcW w:w="3756"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禁止发展不符园区产业规划的产业，禁止不符合园产业局的项目，禁止不符合园区环境保护目标的产业</w:t>
                  </w:r>
                </w:p>
              </w:tc>
              <w:tc>
                <w:tcPr>
                  <w:tcW w:w="2286" w:type="dxa"/>
                  <w:vAlign w:val="center"/>
                </w:tcPr>
                <w:p>
                  <w:pPr>
                    <w:widowControl/>
                    <w:spacing w:line="0" w:lineRule="atLeast"/>
                    <w:ind w:firstLine="42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w:t>
                  </w:r>
                </w:p>
              </w:tc>
            </w:tr>
          </w:tbl>
          <w:p>
            <w:pPr>
              <w:widowControl/>
              <w:ind w:firstLine="0" w:firstLineChars="0"/>
              <w:jc w:val="center"/>
              <w:rPr>
                <w:rFonts w:ascii="宋体" w:hAnsi="宋体" w:eastAsia="宋体" w:cs="宋体"/>
                <w:b/>
                <w:bCs/>
                <w:kern w:val="0"/>
                <w:szCs w:val="24"/>
                <w:lang w:bidi="ar"/>
              </w:rPr>
            </w:pPr>
            <w:r>
              <w:rPr>
                <w:rFonts w:hint="eastAsia" w:ascii="宋体" w:hAnsi="宋体" w:eastAsia="宋体" w:cs="宋体"/>
                <w:b/>
                <w:bCs/>
                <w:kern w:val="0"/>
                <w:szCs w:val="24"/>
                <w:lang w:bidi="ar"/>
              </w:rPr>
              <w:t>表1-4  资源环境条件禁止准入清单</w:t>
            </w:r>
          </w:p>
          <w:tbl>
            <w:tblPr>
              <w:tblStyle w:val="37"/>
              <w:tblW w:w="6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4023"/>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禁止准入类别</w:t>
                  </w:r>
                </w:p>
              </w:tc>
              <w:tc>
                <w:tcPr>
                  <w:tcW w:w="4023"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禁止或限制措施描述</w:t>
                  </w:r>
                </w:p>
              </w:tc>
              <w:tc>
                <w:tcPr>
                  <w:tcW w:w="2019"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本项目符合性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资源限制类</w:t>
                  </w:r>
                </w:p>
              </w:tc>
              <w:tc>
                <w:tcPr>
                  <w:tcW w:w="4023"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禁止占用基本农田；禁止不符合国家水资源利用政策的产业；禁止占用大量森林资源</w:t>
                  </w:r>
                </w:p>
              </w:tc>
              <w:tc>
                <w:tcPr>
                  <w:tcW w:w="2019"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本项目不占用基本农田，用水为自来水，不占用森林资源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restart"/>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环境制约类</w:t>
                  </w:r>
                </w:p>
              </w:tc>
              <w:tc>
                <w:tcPr>
                  <w:tcW w:w="4023"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禁止污染物放总量突破区域环境质量底线；禁止不符合环境保护可行性技术的产业；禁止污物超标排放</w:t>
                  </w:r>
                </w:p>
              </w:tc>
              <w:tc>
                <w:tcPr>
                  <w:tcW w:w="2019"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本项目污染物经采取治理措施后均能达标排放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vAlign w:val="center"/>
                </w:tcPr>
                <w:p>
                  <w:pPr>
                    <w:widowControl/>
                    <w:spacing w:line="0" w:lineRule="atLeast"/>
                    <w:ind w:firstLine="0" w:firstLineChars="0"/>
                    <w:rPr>
                      <w:rFonts w:ascii="宋体" w:hAnsi="宋体" w:eastAsia="宋体" w:cs="宋体"/>
                      <w:kern w:val="0"/>
                      <w:sz w:val="21"/>
                      <w:szCs w:val="21"/>
                      <w:lang w:bidi="ar"/>
                    </w:rPr>
                  </w:pPr>
                </w:p>
              </w:tc>
              <w:tc>
                <w:tcPr>
                  <w:tcW w:w="4023"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石油炼化、石化下游产业用地周边</w:t>
                  </w:r>
                  <w:r>
                    <w:rPr>
                      <w:rFonts w:ascii="宋体" w:hAnsi="宋体" w:eastAsia="宋体" w:cs="宋体"/>
                      <w:kern w:val="0"/>
                      <w:sz w:val="21"/>
                      <w:szCs w:val="21"/>
                      <w:lang w:bidi="ar"/>
                    </w:rPr>
                    <w:t>1.5km</w:t>
                  </w:r>
                  <w:r>
                    <w:rPr>
                      <w:rFonts w:hint="eastAsia" w:ascii="宋体" w:hAnsi="宋体" w:eastAsia="宋体" w:cs="宋体"/>
                      <w:kern w:val="0"/>
                      <w:sz w:val="21"/>
                      <w:szCs w:val="21"/>
                      <w:lang w:bidi="ar"/>
                    </w:rPr>
                    <w:t>和钢铁冶金用地周边</w:t>
                  </w:r>
                  <w:r>
                    <w:rPr>
                      <w:rFonts w:ascii="宋体" w:hAnsi="宋体" w:eastAsia="宋体" w:cs="宋体"/>
                      <w:kern w:val="0"/>
                      <w:sz w:val="21"/>
                      <w:szCs w:val="21"/>
                      <w:lang w:bidi="ar"/>
                    </w:rPr>
                    <w:t>1.2km</w:t>
                  </w:r>
                  <w:r>
                    <w:rPr>
                      <w:rFonts w:hint="eastAsia" w:ascii="宋体" w:hAnsi="宋体" w:eastAsia="宋体" w:cs="宋体"/>
                      <w:kern w:val="0"/>
                      <w:sz w:val="21"/>
                      <w:szCs w:val="21"/>
                      <w:lang w:bidi="ar"/>
                    </w:rPr>
                    <w:t>的绿化隔离带内，禁止布局长期居住居民和对环境要求较高的制药、食品、生物等产业，限制农业种植和养殖业发展</w:t>
                  </w:r>
                </w:p>
              </w:tc>
              <w:tc>
                <w:tcPr>
                  <w:tcW w:w="2019"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本项目不属于石油炼化及钢铁冶金业</w:t>
                  </w:r>
                </w:p>
              </w:tc>
            </w:tr>
          </w:tbl>
          <w:p>
            <w:pPr>
              <w:widowControl/>
              <w:ind w:firstLine="480"/>
              <w:jc w:val="left"/>
            </w:pPr>
            <w:r>
              <w:rPr>
                <w:rFonts w:hint="eastAsia"/>
              </w:rPr>
              <w:t>（5）限制准入清单</w:t>
            </w:r>
          </w:p>
          <w:p>
            <w:pPr>
              <w:widowControl/>
              <w:ind w:firstLine="0" w:firstLineChars="0"/>
              <w:jc w:val="center"/>
              <w:rPr>
                <w:rFonts w:ascii="宋体" w:hAnsi="宋体" w:eastAsia="宋体" w:cs="宋体"/>
                <w:b/>
                <w:bCs/>
                <w:kern w:val="0"/>
                <w:szCs w:val="24"/>
                <w:lang w:bidi="ar"/>
              </w:rPr>
            </w:pPr>
            <w:r>
              <w:rPr>
                <w:rFonts w:hint="eastAsia" w:ascii="宋体" w:hAnsi="宋体" w:eastAsia="宋体" w:cs="宋体"/>
                <w:b/>
                <w:bCs/>
                <w:kern w:val="0"/>
                <w:szCs w:val="24"/>
                <w:lang w:bidi="ar"/>
              </w:rPr>
              <w:t>表1-5    生态保护红线限制准入清单</w:t>
            </w:r>
          </w:p>
          <w:tbl>
            <w:tblPr>
              <w:tblStyle w:val="37"/>
              <w:tblW w:w="6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2455"/>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禁止准入类别</w:t>
                  </w:r>
                </w:p>
              </w:tc>
              <w:tc>
                <w:tcPr>
                  <w:tcW w:w="2455"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禁止或限制措施描述</w:t>
                  </w:r>
                </w:p>
              </w:tc>
              <w:tc>
                <w:tcPr>
                  <w:tcW w:w="2537"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本项目符合性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国家生态公益林</w:t>
                  </w:r>
                </w:p>
              </w:tc>
              <w:tc>
                <w:tcPr>
                  <w:tcW w:w="2455" w:type="dxa"/>
                  <w:vMerge w:val="restart"/>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color w:val="FF0000"/>
                      <w:kern w:val="0"/>
                      <w:sz w:val="21"/>
                      <w:szCs w:val="21"/>
                      <w:lang w:bidi="ar"/>
                    </w:rPr>
                    <w:t>除家和省的重点建设项目、管理与服务设施外，其他建设项目须避让前述区域，严禁进行</w:t>
                  </w:r>
                </w:p>
              </w:tc>
              <w:tc>
                <w:tcPr>
                  <w:tcW w:w="2537" w:type="dxa"/>
                  <w:vMerge w:val="restart"/>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本项目位于云南省楚雄州姚安县栋川镇下新屯村委会，属于城镇建成区，不在限制准入区内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国有林</w:t>
                  </w:r>
                </w:p>
              </w:tc>
              <w:tc>
                <w:tcPr>
                  <w:tcW w:w="2455" w:type="dxa"/>
                  <w:vMerge w:val="continue"/>
                  <w:vAlign w:val="center"/>
                </w:tcPr>
                <w:p>
                  <w:pPr>
                    <w:widowControl/>
                    <w:spacing w:line="0" w:lineRule="atLeast"/>
                    <w:ind w:firstLine="0" w:firstLineChars="0"/>
                    <w:rPr>
                      <w:rFonts w:ascii="宋体" w:hAnsi="宋体" w:eastAsia="宋体" w:cs="宋体"/>
                      <w:kern w:val="0"/>
                      <w:sz w:val="21"/>
                      <w:szCs w:val="21"/>
                      <w:lang w:bidi="ar"/>
                    </w:rPr>
                  </w:pPr>
                </w:p>
              </w:tc>
              <w:tc>
                <w:tcPr>
                  <w:tcW w:w="2537" w:type="dxa"/>
                  <w:vMerge w:val="continue"/>
                  <w:vAlign w:val="center"/>
                </w:tcPr>
                <w:p>
                  <w:pPr>
                    <w:widowControl/>
                    <w:spacing w:line="0" w:lineRule="atLeast"/>
                    <w:ind w:firstLine="0" w:firstLineChars="0"/>
                    <w:rPr>
                      <w:rFonts w:ascii="宋体" w:hAnsi="宋体" w:eastAsia="宋体" w:cs="宋体"/>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螳螂川、禄裱河、九龙河、九渡河等 河流滨岸带</w:t>
                  </w:r>
                </w:p>
              </w:tc>
              <w:tc>
                <w:tcPr>
                  <w:tcW w:w="2455" w:type="dxa"/>
                  <w:vMerge w:val="continue"/>
                  <w:vAlign w:val="center"/>
                </w:tcPr>
                <w:p>
                  <w:pPr>
                    <w:widowControl/>
                    <w:ind w:firstLine="0" w:firstLineChars="0"/>
                    <w:jc w:val="left"/>
                    <w:rPr>
                      <w:rFonts w:ascii="宋体" w:hAnsi="宋体" w:eastAsia="宋体" w:cs="宋体"/>
                      <w:kern w:val="0"/>
                      <w:sz w:val="21"/>
                      <w:szCs w:val="21"/>
                      <w:lang w:bidi="ar"/>
                    </w:rPr>
                  </w:pPr>
                </w:p>
              </w:tc>
              <w:tc>
                <w:tcPr>
                  <w:tcW w:w="2537" w:type="dxa"/>
                  <w:vMerge w:val="continue"/>
                  <w:vAlign w:val="center"/>
                </w:tcPr>
                <w:p>
                  <w:pPr>
                    <w:widowControl/>
                    <w:spacing w:line="0" w:lineRule="atLeast"/>
                    <w:ind w:firstLine="420"/>
                    <w:jc w:val="center"/>
                    <w:rPr>
                      <w:rFonts w:ascii="宋体" w:hAnsi="宋体" w:eastAsia="宋体" w:cs="宋体"/>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未来省、市划定的其他限制准入生态保护红线区</w:t>
                  </w:r>
                </w:p>
              </w:tc>
              <w:tc>
                <w:tcPr>
                  <w:tcW w:w="2455"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禁止建设与生态保护红线区保护目标不一致的工程</w:t>
                  </w:r>
                </w:p>
              </w:tc>
              <w:tc>
                <w:tcPr>
                  <w:tcW w:w="2537" w:type="dxa"/>
                  <w:vAlign w:val="center"/>
                </w:tcPr>
                <w:p>
                  <w:pPr>
                    <w:widowControl/>
                    <w:spacing w:line="0" w:lineRule="atLeast"/>
                    <w:ind w:firstLine="42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w:t>
                  </w:r>
                </w:p>
              </w:tc>
            </w:tr>
          </w:tbl>
          <w:p>
            <w:pPr>
              <w:widowControl/>
              <w:ind w:firstLine="0" w:firstLineChars="0"/>
              <w:jc w:val="center"/>
              <w:rPr>
                <w:rFonts w:ascii="宋体" w:hAnsi="宋体" w:eastAsia="宋体" w:cs="宋体"/>
                <w:b/>
                <w:bCs/>
                <w:kern w:val="0"/>
                <w:szCs w:val="24"/>
                <w:lang w:bidi="ar"/>
              </w:rPr>
            </w:pPr>
          </w:p>
          <w:p>
            <w:pPr>
              <w:widowControl/>
              <w:ind w:firstLine="0" w:firstLineChars="0"/>
              <w:jc w:val="center"/>
              <w:rPr>
                <w:rFonts w:ascii="宋体" w:hAnsi="宋体" w:eastAsia="宋体" w:cs="宋体"/>
                <w:b/>
                <w:bCs/>
                <w:kern w:val="0"/>
                <w:szCs w:val="24"/>
                <w:lang w:bidi="ar"/>
              </w:rPr>
            </w:pPr>
            <w:r>
              <w:rPr>
                <w:rFonts w:hint="eastAsia" w:ascii="宋体" w:hAnsi="宋体" w:eastAsia="宋体" w:cs="宋体"/>
                <w:b/>
                <w:bCs/>
                <w:kern w:val="0"/>
                <w:szCs w:val="24"/>
                <w:lang w:bidi="ar"/>
              </w:rPr>
              <w:t>表1-6    产业政策限制准入清单</w:t>
            </w:r>
          </w:p>
          <w:tbl>
            <w:tblPr>
              <w:tblStyle w:val="37"/>
              <w:tblW w:w="6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385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禁止准入类别</w:t>
                  </w:r>
                </w:p>
              </w:tc>
              <w:tc>
                <w:tcPr>
                  <w:tcW w:w="3859"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禁止或限制措施描述</w:t>
                  </w:r>
                </w:p>
              </w:tc>
              <w:tc>
                <w:tcPr>
                  <w:tcW w:w="2046"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本项目符合性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1009"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石化及其下游产业</w:t>
                  </w:r>
                </w:p>
              </w:tc>
              <w:tc>
                <w:tcPr>
                  <w:tcW w:w="3859" w:type="dxa"/>
                  <w:vAlign w:val="center"/>
                </w:tcPr>
                <w:p>
                  <w:pPr>
                    <w:widowControl/>
                    <w:spacing w:line="0" w:lineRule="atLeast"/>
                    <w:ind w:firstLine="0" w:firstLineChars="0"/>
                    <w:jc w:val="left"/>
                    <w:rPr>
                      <w:rFonts w:ascii="宋体" w:hAnsi="宋体" w:eastAsia="宋体" w:cs="宋体"/>
                      <w:kern w:val="0"/>
                      <w:sz w:val="21"/>
                      <w:szCs w:val="21"/>
                      <w:lang w:bidi="ar"/>
                    </w:rPr>
                  </w:pPr>
                  <w:r>
                    <w:rPr>
                      <w:rFonts w:hint="eastAsia" w:ascii="宋体" w:hAnsi="宋体" w:eastAsia="宋体" w:cs="宋体"/>
                      <w:kern w:val="0"/>
                      <w:sz w:val="21"/>
                      <w:szCs w:val="21"/>
                      <w:lang w:bidi="ar"/>
                    </w:rPr>
                    <w:t xml:space="preserve">根据石化下游产业项目环境影响评价结果，控制石油炼化及下游产业发展规模，优化石化下游产业布局；严格控制产业 </w:t>
                  </w:r>
                  <w:r>
                    <w:rPr>
                      <w:rFonts w:eastAsia="宋体" w:cs="Times New Roman"/>
                      <w:kern w:val="0"/>
                      <w:sz w:val="21"/>
                      <w:szCs w:val="21"/>
                      <w:lang w:bidi="ar"/>
                    </w:rPr>
                    <w:t>SO</w:t>
                  </w:r>
                  <w:r>
                    <w:rPr>
                      <w:rFonts w:eastAsia="宋体" w:cs="Times New Roman"/>
                      <w:kern w:val="0"/>
                      <w:sz w:val="21"/>
                      <w:szCs w:val="21"/>
                      <w:vertAlign w:val="subscript"/>
                      <w:lang w:bidi="ar"/>
                    </w:rPr>
                    <w:t>2</w:t>
                  </w:r>
                  <w:r>
                    <w:rPr>
                      <w:rFonts w:hint="eastAsia" w:ascii="宋体" w:hAnsi="宋体" w:eastAsia="宋体" w:cs="宋体"/>
                      <w:kern w:val="0"/>
                      <w:sz w:val="21"/>
                      <w:szCs w:val="21"/>
                      <w:lang w:bidi="ar"/>
                    </w:rPr>
                    <w:t>、</w:t>
                  </w:r>
                  <w:r>
                    <w:rPr>
                      <w:rFonts w:eastAsia="宋体" w:cs="Times New Roman"/>
                      <w:kern w:val="0"/>
                      <w:sz w:val="21"/>
                      <w:szCs w:val="21"/>
                      <w:lang w:bidi="ar"/>
                    </w:rPr>
                    <w:t>NOx</w:t>
                  </w:r>
                  <w:r>
                    <w:rPr>
                      <w:rFonts w:hint="eastAsia" w:ascii="宋体" w:hAnsi="宋体" w:eastAsia="宋体" w:cs="宋体"/>
                      <w:kern w:val="0"/>
                      <w:sz w:val="21"/>
                      <w:szCs w:val="21"/>
                      <w:lang w:bidi="ar"/>
                    </w:rPr>
                    <w:t>、硫化氢、苯系物、非甲烷总等污染物排放总量</w:t>
                  </w:r>
                </w:p>
              </w:tc>
              <w:tc>
                <w:tcPr>
                  <w:tcW w:w="2046"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本项目为姚安县龙岗卫生院建设项目，不属于限制准入类别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鏻盐化工产业</w:t>
                  </w:r>
                </w:p>
              </w:tc>
              <w:tc>
                <w:tcPr>
                  <w:tcW w:w="3859" w:type="dxa"/>
                  <w:vAlign w:val="center"/>
                </w:tcPr>
                <w:p>
                  <w:pPr>
                    <w:widowControl/>
                    <w:spacing w:line="0" w:lineRule="atLeast"/>
                    <w:ind w:firstLine="0" w:firstLineChars="0"/>
                    <w:jc w:val="left"/>
                    <w:rPr>
                      <w:rFonts w:ascii="宋体" w:hAnsi="宋体" w:eastAsia="宋体" w:cs="宋体"/>
                      <w:kern w:val="0"/>
                      <w:sz w:val="21"/>
                      <w:szCs w:val="21"/>
                      <w:lang w:bidi="ar"/>
                    </w:rPr>
                  </w:pPr>
                  <w:r>
                    <w:rPr>
                      <w:rFonts w:hint="eastAsia" w:ascii="宋体" w:hAnsi="宋体" w:eastAsia="宋体" w:cs="宋体"/>
                      <w:kern w:val="0"/>
                      <w:sz w:val="21"/>
                      <w:szCs w:val="21"/>
                      <w:lang w:bidi="ar"/>
                    </w:rPr>
                    <w:t xml:space="preserve">控制磷化工产业发展规模，新增产能需做到增产不增污；严格控制企业废水 </w:t>
                  </w:r>
                  <w:r>
                    <w:rPr>
                      <w:rFonts w:ascii="宋体" w:hAnsi="宋体" w:eastAsia="宋体" w:cs="宋体"/>
                      <w:kern w:val="0"/>
                      <w:sz w:val="21"/>
                      <w:szCs w:val="21"/>
                      <w:lang w:bidi="ar"/>
                    </w:rPr>
                    <w:t>COD</w:t>
                  </w:r>
                  <w:r>
                    <w:rPr>
                      <w:rFonts w:hint="eastAsia" w:ascii="宋体" w:hAnsi="宋体" w:eastAsia="宋体" w:cs="宋体"/>
                      <w:kern w:val="0"/>
                      <w:sz w:val="21"/>
                      <w:szCs w:val="21"/>
                      <w:lang w:bidi="ar"/>
                    </w:rPr>
                    <w:t>、氨氮、总磷、氟化物等排放总量</w:t>
                  </w:r>
                </w:p>
              </w:tc>
              <w:tc>
                <w:tcPr>
                  <w:tcW w:w="2046"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项目为姚安县龙岗卫生院建设项目，不属于限制准入类别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钢铁产业</w:t>
                  </w:r>
                </w:p>
              </w:tc>
              <w:tc>
                <w:tcPr>
                  <w:tcW w:w="3859" w:type="dxa"/>
                  <w:vAlign w:val="center"/>
                </w:tcPr>
                <w:p>
                  <w:pPr>
                    <w:widowControl/>
                    <w:spacing w:line="0" w:lineRule="atLeast"/>
                    <w:ind w:firstLine="0" w:firstLineChars="0"/>
                    <w:jc w:val="left"/>
                    <w:rPr>
                      <w:rFonts w:ascii="宋体" w:hAnsi="宋体" w:eastAsia="宋体" w:cs="宋体"/>
                      <w:kern w:val="0"/>
                      <w:sz w:val="21"/>
                      <w:szCs w:val="21"/>
                      <w:lang w:bidi="ar"/>
                    </w:rPr>
                  </w:pPr>
                  <w:r>
                    <w:rPr>
                      <w:rFonts w:hint="eastAsia" w:ascii="宋体" w:hAnsi="宋体" w:eastAsia="宋体" w:cs="宋体"/>
                      <w:kern w:val="0"/>
                      <w:sz w:val="21"/>
                      <w:szCs w:val="21"/>
                      <w:lang w:bidi="ar"/>
                    </w:rPr>
                    <w:t xml:space="preserve">需符合国家产业政策，严格控制产业 </w:t>
                  </w:r>
                  <w:r>
                    <w:rPr>
                      <w:rFonts w:eastAsia="宋体" w:cs="Times New Roman"/>
                      <w:kern w:val="0"/>
                      <w:sz w:val="21"/>
                      <w:szCs w:val="21"/>
                      <w:lang w:bidi="ar"/>
                    </w:rPr>
                    <w:t>SO</w:t>
                  </w:r>
                  <w:r>
                    <w:rPr>
                      <w:rFonts w:eastAsia="宋体" w:cs="Times New Roman"/>
                      <w:kern w:val="0"/>
                      <w:sz w:val="21"/>
                      <w:szCs w:val="21"/>
                      <w:vertAlign w:val="subscript"/>
                      <w:lang w:bidi="ar"/>
                    </w:rPr>
                    <w:t>2</w:t>
                  </w:r>
                  <w:r>
                    <w:rPr>
                      <w:rFonts w:hint="eastAsia" w:ascii="宋体" w:hAnsi="宋体" w:eastAsia="宋体" w:cs="宋体"/>
                      <w:kern w:val="0"/>
                      <w:sz w:val="21"/>
                      <w:szCs w:val="21"/>
                      <w:lang w:bidi="ar"/>
                    </w:rPr>
                    <w:t>、</w:t>
                  </w:r>
                  <w:r>
                    <w:rPr>
                      <w:rFonts w:eastAsia="宋体" w:cs="Times New Roman"/>
                      <w:kern w:val="0"/>
                      <w:sz w:val="21"/>
                      <w:szCs w:val="21"/>
                      <w:lang w:bidi="ar"/>
                    </w:rPr>
                    <w:t>NOx</w:t>
                  </w:r>
                  <w:r>
                    <w:rPr>
                      <w:rFonts w:hint="eastAsia" w:ascii="宋体" w:hAnsi="宋体" w:eastAsia="宋体" w:cs="宋体"/>
                      <w:kern w:val="0"/>
                      <w:sz w:val="21"/>
                      <w:szCs w:val="21"/>
                      <w:lang w:bidi="ar"/>
                    </w:rPr>
                    <w:t>、苯并芘、氟化物、硫化氢等大气污染物 排放总量</w:t>
                  </w:r>
                </w:p>
              </w:tc>
              <w:tc>
                <w:tcPr>
                  <w:tcW w:w="2046"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项目为姚安县龙岗卫生院建设项目，不属于限制准入类别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机械加工及汽车制造</w:t>
                  </w:r>
                </w:p>
              </w:tc>
              <w:tc>
                <w:tcPr>
                  <w:tcW w:w="3859" w:type="dxa"/>
                  <w:vAlign w:val="center"/>
                </w:tcPr>
                <w:p>
                  <w:pPr>
                    <w:widowControl/>
                    <w:spacing w:line="0" w:lineRule="atLeast"/>
                    <w:ind w:firstLine="0" w:firstLineChars="0"/>
                    <w:jc w:val="left"/>
                    <w:rPr>
                      <w:rFonts w:ascii="宋体" w:hAnsi="宋体" w:eastAsia="宋体" w:cs="宋体"/>
                      <w:kern w:val="0"/>
                      <w:sz w:val="21"/>
                      <w:szCs w:val="21"/>
                      <w:lang w:bidi="ar"/>
                    </w:rPr>
                  </w:pPr>
                  <w:r>
                    <w:rPr>
                      <w:rFonts w:hint="eastAsia" w:ascii="宋体" w:hAnsi="宋体" w:eastAsia="宋体" w:cs="宋体"/>
                      <w:kern w:val="0"/>
                      <w:sz w:val="21"/>
                      <w:szCs w:val="21"/>
                      <w:lang w:bidi="ar"/>
                    </w:rPr>
                    <w:t>严格按家产业政策进行管理，严控产排含重金属废气、废水项目引入，禁止发展不能实现挥发性有机物等细颗粒物前体物排放倍量削减建设项目</w:t>
                  </w:r>
                </w:p>
              </w:tc>
              <w:tc>
                <w:tcPr>
                  <w:tcW w:w="2046" w:type="dxa"/>
                  <w:vAlign w:val="center"/>
                </w:tcPr>
                <w:p>
                  <w:pPr>
                    <w:widowControl/>
                    <w:spacing w:line="0" w:lineRule="atLeas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本项目为姚安县龙岗卫生院建设项目，不属于限制准入类别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建材及循环产业</w:t>
                  </w:r>
                </w:p>
              </w:tc>
              <w:tc>
                <w:tcPr>
                  <w:tcW w:w="3859" w:type="dxa"/>
                  <w:vAlign w:val="center"/>
                </w:tcPr>
                <w:p>
                  <w:pPr>
                    <w:widowControl/>
                    <w:spacing w:line="0" w:lineRule="atLeast"/>
                    <w:ind w:firstLine="0" w:firstLineChars="0"/>
                    <w:jc w:val="left"/>
                    <w:rPr>
                      <w:rFonts w:ascii="宋体" w:hAnsi="宋体" w:eastAsia="宋体" w:cs="宋体"/>
                      <w:kern w:val="0"/>
                      <w:sz w:val="21"/>
                      <w:szCs w:val="21"/>
                      <w:lang w:bidi="ar"/>
                    </w:rPr>
                  </w:pPr>
                  <w:r>
                    <w:rPr>
                      <w:rFonts w:hint="eastAsia" w:ascii="宋体" w:hAnsi="宋体" w:eastAsia="宋体" w:cs="宋体"/>
                      <w:kern w:val="0"/>
                      <w:sz w:val="21"/>
                      <w:szCs w:val="21"/>
                      <w:lang w:bidi="ar"/>
                    </w:rPr>
                    <w:t xml:space="preserve">严格按国家产业政策进行管理，按园区规划进行合理布局，严格控制 </w:t>
                  </w:r>
                  <w:r>
                    <w:rPr>
                      <w:rFonts w:eastAsia="宋体" w:cs="Times New Roman"/>
                      <w:kern w:val="0"/>
                      <w:sz w:val="21"/>
                      <w:szCs w:val="21"/>
                      <w:lang w:bidi="ar"/>
                    </w:rPr>
                    <w:t>SO</w:t>
                  </w:r>
                  <w:r>
                    <w:rPr>
                      <w:rFonts w:eastAsia="宋体" w:cs="Times New Roman"/>
                      <w:kern w:val="0"/>
                      <w:sz w:val="21"/>
                      <w:szCs w:val="21"/>
                      <w:vertAlign w:val="subscript"/>
                      <w:lang w:bidi="ar"/>
                    </w:rPr>
                    <w:t>2</w:t>
                  </w:r>
                  <w:r>
                    <w:rPr>
                      <w:rFonts w:hint="eastAsia" w:ascii="宋体" w:hAnsi="宋体" w:eastAsia="宋体" w:cs="宋体"/>
                      <w:kern w:val="0"/>
                      <w:sz w:val="21"/>
                      <w:szCs w:val="21"/>
                      <w:lang w:bidi="ar"/>
                    </w:rPr>
                    <w:t>、</w:t>
                  </w:r>
                  <w:r>
                    <w:rPr>
                      <w:rFonts w:eastAsia="宋体" w:cs="Times New Roman"/>
                      <w:kern w:val="0"/>
                      <w:sz w:val="21"/>
                      <w:szCs w:val="21"/>
                      <w:lang w:bidi="ar"/>
                    </w:rPr>
                    <w:t>NOx</w:t>
                  </w:r>
                  <w:r>
                    <w:rPr>
                      <w:rFonts w:hint="eastAsia" w:ascii="宋体" w:hAnsi="宋体" w:eastAsia="宋体" w:cs="宋体"/>
                      <w:kern w:val="0"/>
                      <w:sz w:val="21"/>
                      <w:szCs w:val="21"/>
                      <w:lang w:bidi="ar"/>
                    </w:rPr>
                    <w:t>、粉 尘、氟化物等污染物排放</w:t>
                  </w:r>
                </w:p>
              </w:tc>
              <w:tc>
                <w:tcPr>
                  <w:tcW w:w="2046" w:type="dxa"/>
                  <w:vAlign w:val="center"/>
                </w:tcPr>
                <w:p>
                  <w:pPr>
                    <w:widowControl/>
                    <w:spacing w:line="0" w:lineRule="atLeast"/>
                    <w:ind w:firstLine="0" w:firstLineChars="0"/>
                    <w:jc w:val="left"/>
                    <w:rPr>
                      <w:rFonts w:ascii="宋体" w:hAnsi="宋体" w:eastAsia="宋体" w:cs="宋体"/>
                      <w:kern w:val="0"/>
                      <w:sz w:val="21"/>
                      <w:szCs w:val="21"/>
                      <w:lang w:bidi="ar"/>
                    </w:rPr>
                  </w:pPr>
                  <w:r>
                    <w:rPr>
                      <w:rFonts w:hint="eastAsia" w:ascii="宋体" w:hAnsi="宋体" w:eastAsia="宋体" w:cs="宋体"/>
                      <w:kern w:val="0"/>
                      <w:sz w:val="21"/>
                      <w:szCs w:val="21"/>
                      <w:lang w:bidi="ar"/>
                    </w:rPr>
                    <w:t>本项目不涉及以上污染物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轻型加工制造业</w:t>
                  </w:r>
                </w:p>
              </w:tc>
              <w:tc>
                <w:tcPr>
                  <w:tcW w:w="3859" w:type="dxa"/>
                  <w:vAlign w:val="center"/>
                </w:tcPr>
                <w:p>
                  <w:pPr>
                    <w:widowControl/>
                    <w:spacing w:line="0" w:lineRule="atLeast"/>
                    <w:ind w:firstLine="0" w:firstLineChars="0"/>
                    <w:jc w:val="left"/>
                    <w:rPr>
                      <w:rFonts w:ascii="宋体" w:hAnsi="宋体" w:eastAsia="宋体" w:cs="宋体"/>
                      <w:kern w:val="0"/>
                      <w:sz w:val="21"/>
                      <w:szCs w:val="21"/>
                      <w:lang w:bidi="ar"/>
                    </w:rPr>
                  </w:pPr>
                  <w:r>
                    <w:rPr>
                      <w:rFonts w:hint="eastAsia" w:ascii="宋体" w:hAnsi="宋体" w:eastAsia="宋体" w:cs="宋体"/>
                      <w:kern w:val="0"/>
                      <w:sz w:val="21"/>
                      <w:szCs w:val="21"/>
                      <w:lang w:bidi="ar"/>
                    </w:rPr>
                    <w:t>严格控制产业布局，严格控制企业废水排放</w:t>
                  </w:r>
                </w:p>
              </w:tc>
              <w:tc>
                <w:tcPr>
                  <w:tcW w:w="2046" w:type="dxa"/>
                  <w:vAlign w:val="center"/>
                </w:tcPr>
                <w:p>
                  <w:pPr>
                    <w:widowControl/>
                    <w:spacing w:line="0" w:lineRule="atLeast"/>
                    <w:ind w:firstLine="0" w:firstLineChars="0"/>
                    <w:jc w:val="left"/>
                    <w:rPr>
                      <w:rFonts w:ascii="宋体" w:hAnsi="宋体" w:eastAsia="宋体" w:cs="宋体"/>
                      <w:kern w:val="0"/>
                      <w:sz w:val="21"/>
                      <w:szCs w:val="21"/>
                      <w:lang w:bidi="ar"/>
                    </w:rPr>
                  </w:pPr>
                  <w:r>
                    <w:rPr>
                      <w:rFonts w:hint="eastAsia" w:ascii="宋体" w:hAnsi="宋体" w:eastAsia="宋体" w:cs="宋体"/>
                      <w:kern w:val="0"/>
                      <w:sz w:val="21"/>
                      <w:szCs w:val="21"/>
                      <w:lang w:bidi="ar"/>
                    </w:rPr>
                    <w:t>项目为姚安县龙岗卫生院建设项目，不属于限制准入类别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pPr>
                    <w:widowControl/>
                    <w:spacing w:line="0" w:lineRule="atLeast"/>
                    <w:ind w:firstLine="0" w:firstLineChars="0"/>
                    <w:jc w:val="center"/>
                    <w:rPr>
                      <w:rFonts w:ascii="宋体" w:hAnsi="宋体" w:eastAsia="宋体" w:cs="宋体"/>
                      <w:kern w:val="0"/>
                      <w:sz w:val="21"/>
                      <w:szCs w:val="21"/>
                      <w:lang w:bidi="ar"/>
                    </w:rPr>
                  </w:pPr>
                  <w:r>
                    <w:rPr>
                      <w:rFonts w:hint="eastAsia" w:ascii="宋体" w:hAnsi="宋体" w:eastAsia="宋体" w:cs="宋体"/>
                      <w:kern w:val="0"/>
                      <w:sz w:val="21"/>
                      <w:szCs w:val="21"/>
                      <w:lang w:bidi="ar"/>
                    </w:rPr>
                    <w:t>高新技术产业</w:t>
                  </w:r>
                </w:p>
              </w:tc>
              <w:tc>
                <w:tcPr>
                  <w:tcW w:w="3859" w:type="dxa"/>
                  <w:vAlign w:val="center"/>
                </w:tcPr>
                <w:p>
                  <w:pPr>
                    <w:widowControl/>
                    <w:spacing w:line="0" w:lineRule="atLeast"/>
                    <w:ind w:firstLine="0" w:firstLineChars="0"/>
                    <w:jc w:val="left"/>
                    <w:rPr>
                      <w:rFonts w:ascii="宋体" w:hAnsi="宋体" w:eastAsia="宋体" w:cs="宋体"/>
                      <w:kern w:val="0"/>
                      <w:sz w:val="21"/>
                      <w:szCs w:val="21"/>
                      <w:lang w:bidi="ar"/>
                    </w:rPr>
                  </w:pPr>
                  <w:r>
                    <w:rPr>
                      <w:rFonts w:hint="eastAsia" w:ascii="宋体" w:hAnsi="宋体" w:eastAsia="宋体" w:cs="宋体"/>
                      <w:kern w:val="0"/>
                      <w:sz w:val="21"/>
                      <w:szCs w:val="21"/>
                      <w:lang w:bidi="ar"/>
                    </w:rPr>
                    <w:t>严格控制产业布，严格控制涉重企业染物排放</w:t>
                  </w:r>
                </w:p>
              </w:tc>
              <w:tc>
                <w:tcPr>
                  <w:tcW w:w="2046" w:type="dxa"/>
                  <w:vAlign w:val="center"/>
                </w:tcPr>
                <w:p>
                  <w:pPr>
                    <w:widowControl/>
                    <w:spacing w:line="0" w:lineRule="atLeast"/>
                    <w:ind w:firstLine="0" w:firstLineChars="0"/>
                    <w:jc w:val="left"/>
                    <w:rPr>
                      <w:rFonts w:ascii="宋体" w:hAnsi="宋体" w:eastAsia="宋体" w:cs="宋体"/>
                      <w:kern w:val="0"/>
                      <w:sz w:val="21"/>
                      <w:szCs w:val="21"/>
                      <w:lang w:bidi="ar"/>
                    </w:rPr>
                  </w:pPr>
                  <w:r>
                    <w:rPr>
                      <w:rFonts w:hint="eastAsia" w:ascii="宋体" w:hAnsi="宋体" w:eastAsia="宋体" w:cs="宋体"/>
                      <w:kern w:val="0"/>
                      <w:sz w:val="21"/>
                      <w:szCs w:val="21"/>
                      <w:lang w:bidi="ar"/>
                    </w:rPr>
                    <w:t>项目为姚安县龙岗卫生院建设项目，不属于限制准入类别</w:t>
                  </w:r>
                </w:p>
              </w:tc>
            </w:tr>
          </w:tbl>
          <w:p>
            <w:pPr>
              <w:ind w:firstLine="480"/>
              <w:rPr>
                <w:kern w:val="0"/>
              </w:rPr>
            </w:pPr>
          </w:p>
          <w:p>
            <w:pPr>
              <w:widowControl/>
              <w:ind w:firstLine="482"/>
              <w:jc w:val="left"/>
              <w:rPr>
                <w:b/>
              </w:rPr>
            </w:pPr>
          </w:p>
          <w:p>
            <w:pPr>
              <w:widowControl/>
              <w:ind w:firstLine="482"/>
              <w:jc w:val="left"/>
              <w:rPr>
                <w:b/>
              </w:rPr>
            </w:pPr>
          </w:p>
          <w:p>
            <w:pPr>
              <w:widowControl/>
              <w:ind w:firstLine="482"/>
              <w:jc w:val="left"/>
              <w:rPr>
                <w:b/>
              </w:rPr>
            </w:pPr>
            <w:r>
              <w:rPr>
                <w:rFonts w:hint="eastAsia"/>
                <w:b/>
              </w:rPr>
              <w:t>2、与《云南省长江经济带发展负面清单指南（试行）》符合性分析</w:t>
            </w:r>
          </w:p>
          <w:p>
            <w:pPr>
              <w:ind w:firstLine="0" w:firstLineChars="0"/>
              <w:jc w:val="center"/>
              <w:rPr>
                <w:b/>
                <w:bCs/>
                <w:kern w:val="0"/>
                <w:szCs w:val="24"/>
              </w:rPr>
            </w:pPr>
            <w:r>
              <w:rPr>
                <w:rFonts w:hint="eastAsia"/>
                <w:b/>
                <w:bCs/>
                <w:kern w:val="0"/>
                <w:szCs w:val="24"/>
              </w:rPr>
              <w:t>表1-7    长江经济带发展负面清单</w:t>
            </w:r>
          </w:p>
          <w:tbl>
            <w:tblPr>
              <w:tblStyle w:val="37"/>
              <w:tblW w:w="6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3006"/>
              <w:gridCol w:w="2789"/>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0" w:lineRule="atLeast"/>
                    <w:ind w:firstLine="0" w:firstLineChars="0"/>
                    <w:jc w:val="center"/>
                    <w:rPr>
                      <w:b/>
                      <w:bCs/>
                      <w:kern w:val="0"/>
                      <w:sz w:val="21"/>
                      <w:szCs w:val="21"/>
                    </w:rPr>
                  </w:pPr>
                  <w:r>
                    <w:rPr>
                      <w:rFonts w:hint="eastAsia"/>
                      <w:b/>
                      <w:bCs/>
                      <w:kern w:val="0"/>
                      <w:sz w:val="21"/>
                      <w:szCs w:val="21"/>
                    </w:rPr>
                    <w:t>序号</w:t>
                  </w:r>
                </w:p>
              </w:tc>
              <w:tc>
                <w:tcPr>
                  <w:tcW w:w="3006" w:type="dxa"/>
                  <w:vAlign w:val="center"/>
                </w:tcPr>
                <w:p>
                  <w:pPr>
                    <w:spacing w:line="0" w:lineRule="atLeast"/>
                    <w:ind w:firstLine="0" w:firstLineChars="0"/>
                    <w:jc w:val="center"/>
                    <w:rPr>
                      <w:b/>
                      <w:bCs/>
                      <w:kern w:val="0"/>
                      <w:sz w:val="21"/>
                      <w:szCs w:val="21"/>
                    </w:rPr>
                  </w:pPr>
                  <w:r>
                    <w:rPr>
                      <w:rFonts w:hint="eastAsia"/>
                      <w:b/>
                      <w:bCs/>
                      <w:kern w:val="0"/>
                      <w:sz w:val="21"/>
                      <w:szCs w:val="21"/>
                    </w:rPr>
                    <w:t>长江经济带发展负面清单</w:t>
                  </w:r>
                </w:p>
              </w:tc>
              <w:tc>
                <w:tcPr>
                  <w:tcW w:w="2789" w:type="dxa"/>
                  <w:vAlign w:val="center"/>
                </w:tcPr>
                <w:p>
                  <w:pPr>
                    <w:spacing w:line="0" w:lineRule="atLeast"/>
                    <w:ind w:firstLine="422"/>
                    <w:jc w:val="center"/>
                    <w:rPr>
                      <w:b/>
                      <w:bCs/>
                      <w:kern w:val="0"/>
                      <w:sz w:val="21"/>
                      <w:szCs w:val="21"/>
                    </w:rPr>
                  </w:pPr>
                  <w:r>
                    <w:rPr>
                      <w:rFonts w:hint="eastAsia"/>
                      <w:b/>
                      <w:bCs/>
                      <w:kern w:val="0"/>
                      <w:sz w:val="21"/>
                      <w:szCs w:val="21"/>
                    </w:rPr>
                    <w:t>本项目</w:t>
                  </w:r>
                </w:p>
              </w:tc>
              <w:tc>
                <w:tcPr>
                  <w:tcW w:w="669" w:type="dxa"/>
                  <w:vAlign w:val="center"/>
                </w:tcPr>
                <w:p>
                  <w:pPr>
                    <w:spacing w:line="0" w:lineRule="atLeast"/>
                    <w:ind w:firstLine="0" w:firstLineChars="0"/>
                    <w:jc w:val="center"/>
                    <w:rPr>
                      <w:b/>
                      <w:bCs/>
                      <w:kern w:val="0"/>
                      <w:sz w:val="21"/>
                      <w:szCs w:val="21"/>
                    </w:rPr>
                  </w:pPr>
                  <w:r>
                    <w:rPr>
                      <w:rFonts w:hint="eastAsia"/>
                      <w:b/>
                      <w:bCs/>
                      <w:kern w:val="0"/>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0" w:lineRule="atLeast"/>
                    <w:ind w:firstLine="0" w:firstLineChars="0"/>
                    <w:jc w:val="center"/>
                    <w:rPr>
                      <w:kern w:val="0"/>
                      <w:sz w:val="21"/>
                      <w:szCs w:val="21"/>
                    </w:rPr>
                  </w:pPr>
                  <w:r>
                    <w:rPr>
                      <w:rFonts w:hint="eastAsia"/>
                      <w:kern w:val="0"/>
                      <w:sz w:val="21"/>
                      <w:szCs w:val="21"/>
                    </w:rPr>
                    <w:t>1</w:t>
                  </w:r>
                </w:p>
              </w:tc>
              <w:tc>
                <w:tcPr>
                  <w:tcW w:w="3006" w:type="dxa"/>
                  <w:vAlign w:val="center"/>
                </w:tcPr>
                <w:p>
                  <w:pPr>
                    <w:widowControl/>
                    <w:spacing w:line="0" w:lineRule="atLeast"/>
                    <w:ind w:firstLine="0" w:firstLineChars="0"/>
                    <w:rPr>
                      <w:kern w:val="0"/>
                      <w:sz w:val="21"/>
                      <w:szCs w:val="21"/>
                    </w:rPr>
                  </w:pPr>
                  <w:r>
                    <w:rPr>
                      <w:rFonts w:hint="eastAsia" w:ascii="宋体" w:hAnsi="宋体" w:eastAsia="宋体" w:cs="宋体"/>
                      <w:kern w:val="0"/>
                      <w:sz w:val="21"/>
                      <w:szCs w:val="21"/>
                      <w:lang w:bidi="ar"/>
                    </w:rPr>
                    <w:t>禁止建设不符合全国和省级港口布局规划以及港口总体规划的码头项目，禁止建设不符合《长江干线过江通道布局规划》的过长江通道项目。</w:t>
                  </w:r>
                </w:p>
              </w:tc>
              <w:tc>
                <w:tcPr>
                  <w:tcW w:w="2789" w:type="dxa"/>
                  <w:vAlign w:val="center"/>
                </w:tcPr>
                <w:p>
                  <w:pPr>
                    <w:widowControl/>
                    <w:spacing w:line="0" w:lineRule="atLeast"/>
                    <w:ind w:firstLine="0" w:firstLineChars="0"/>
                    <w:rPr>
                      <w:kern w:val="0"/>
                      <w:sz w:val="21"/>
                      <w:szCs w:val="21"/>
                    </w:rPr>
                  </w:pPr>
                  <w:r>
                    <w:rPr>
                      <w:rFonts w:hint="eastAsia" w:ascii="宋体" w:hAnsi="宋体" w:eastAsia="宋体" w:cs="宋体"/>
                      <w:kern w:val="0"/>
                      <w:sz w:val="21"/>
                      <w:szCs w:val="21"/>
                      <w:lang w:bidi="ar"/>
                    </w:rPr>
                    <w:t>本项目位于云南省楚雄州姚安县栋川镇下新屯村委会，属于城镇建成区，项目区不涉及全国和省级港口布局规划以及港口总体规划的码头项目，不涉及过长江通道项目。</w:t>
                  </w:r>
                </w:p>
              </w:tc>
              <w:tc>
                <w:tcPr>
                  <w:tcW w:w="669" w:type="dxa"/>
                  <w:vAlign w:val="center"/>
                </w:tcPr>
                <w:p>
                  <w:pPr>
                    <w:spacing w:line="0" w:lineRule="atLeast"/>
                    <w:ind w:firstLine="0" w:firstLineChars="0"/>
                    <w:jc w:val="center"/>
                    <w:rPr>
                      <w:kern w:val="0"/>
                      <w:sz w:val="21"/>
                      <w:szCs w:val="21"/>
                    </w:rPr>
                  </w:pPr>
                  <w:r>
                    <w:rPr>
                      <w:rFonts w:hint="eastAsia"/>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0" w:lineRule="atLeast"/>
                    <w:ind w:firstLine="0" w:firstLineChars="0"/>
                    <w:jc w:val="center"/>
                    <w:rPr>
                      <w:kern w:val="0"/>
                      <w:sz w:val="21"/>
                      <w:szCs w:val="21"/>
                    </w:rPr>
                  </w:pPr>
                  <w:r>
                    <w:rPr>
                      <w:rFonts w:hint="eastAsia"/>
                      <w:kern w:val="0"/>
                      <w:sz w:val="21"/>
                      <w:szCs w:val="21"/>
                    </w:rPr>
                    <w:t>2</w:t>
                  </w:r>
                </w:p>
              </w:tc>
              <w:tc>
                <w:tcPr>
                  <w:tcW w:w="3006" w:type="dxa"/>
                  <w:vAlign w:val="center"/>
                </w:tcPr>
                <w:p>
                  <w:pPr>
                    <w:widowControl/>
                    <w:spacing w:line="0" w:lineRule="atLeast"/>
                    <w:ind w:firstLine="0" w:firstLineChars="0"/>
                    <w:rPr>
                      <w:kern w:val="0"/>
                      <w:sz w:val="21"/>
                      <w:szCs w:val="21"/>
                    </w:rPr>
                  </w:pPr>
                  <w:r>
                    <w:rPr>
                      <w:rFonts w:hint="eastAsia" w:ascii="宋体" w:hAnsi="宋体" w:eastAsia="宋体" w:cs="宋体"/>
                      <w:kern w:val="0"/>
                      <w:sz w:val="21"/>
                      <w:szCs w:val="21"/>
                      <w:lang w:bidi="ar"/>
                    </w:rPr>
                    <w:t>禁止在自然保护区核心区、缓冲区的岸线和河段范围内投资建设旅游和生产经营项目。禁止在风景名胜区核心景区的岸线和河段范围内投资建设与风景名胜资源保护无关的项目。</w:t>
                  </w:r>
                </w:p>
              </w:tc>
              <w:tc>
                <w:tcPr>
                  <w:tcW w:w="2789" w:type="dxa"/>
                  <w:vAlign w:val="center"/>
                </w:tcPr>
                <w:p>
                  <w:pPr>
                    <w:widowControl/>
                    <w:spacing w:line="0" w:lineRule="atLeast"/>
                    <w:ind w:firstLine="0" w:firstLineChars="0"/>
                    <w:rPr>
                      <w:kern w:val="0"/>
                      <w:sz w:val="21"/>
                      <w:szCs w:val="21"/>
                    </w:rPr>
                  </w:pPr>
                  <w:r>
                    <w:rPr>
                      <w:rFonts w:hint="eastAsia" w:ascii="宋体" w:hAnsi="宋体" w:eastAsia="宋体" w:cs="宋体"/>
                      <w:kern w:val="0"/>
                      <w:sz w:val="21"/>
                      <w:szCs w:val="21"/>
                      <w:lang w:bidi="ar"/>
                    </w:rPr>
                    <w:t>本项目位于云南省楚雄州姚安县栋川镇下新屯村委会，属于城镇建成区，项目区不涉及饮用水水源保护区、水功能一级区的保护区和保留区、自然保护区、世界文化和自然遗产地、 风景名胜区、地质公园、森林公园、重要湿地等。</w:t>
                  </w:r>
                </w:p>
              </w:tc>
              <w:tc>
                <w:tcPr>
                  <w:tcW w:w="669" w:type="dxa"/>
                  <w:vAlign w:val="center"/>
                </w:tcPr>
                <w:p>
                  <w:pPr>
                    <w:spacing w:line="0" w:lineRule="atLeast"/>
                    <w:ind w:firstLine="0" w:firstLineChars="0"/>
                    <w:jc w:val="center"/>
                    <w:rPr>
                      <w:kern w:val="0"/>
                      <w:sz w:val="21"/>
                      <w:szCs w:val="21"/>
                    </w:rPr>
                  </w:pPr>
                  <w:r>
                    <w:rPr>
                      <w:rFonts w:hint="eastAsia"/>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 w:type="dxa"/>
                  <w:vAlign w:val="center"/>
                </w:tcPr>
                <w:p>
                  <w:pPr>
                    <w:spacing w:line="0" w:lineRule="atLeast"/>
                    <w:ind w:firstLine="0" w:firstLineChars="0"/>
                    <w:jc w:val="center"/>
                    <w:rPr>
                      <w:kern w:val="0"/>
                      <w:sz w:val="21"/>
                      <w:szCs w:val="21"/>
                    </w:rPr>
                  </w:pPr>
                  <w:r>
                    <w:rPr>
                      <w:rFonts w:hint="eastAsia"/>
                      <w:kern w:val="0"/>
                      <w:sz w:val="21"/>
                      <w:szCs w:val="21"/>
                    </w:rPr>
                    <w:t>3</w:t>
                  </w:r>
                </w:p>
              </w:tc>
              <w:tc>
                <w:tcPr>
                  <w:tcW w:w="3006" w:type="dxa"/>
                  <w:vAlign w:val="center"/>
                </w:tcPr>
                <w:p>
                  <w:pPr>
                    <w:widowControl/>
                    <w:spacing w:line="0" w:lineRule="atLeast"/>
                    <w:ind w:firstLine="0" w:firstLineChars="0"/>
                    <w:rPr>
                      <w:kern w:val="0"/>
                      <w:sz w:val="21"/>
                      <w:szCs w:val="21"/>
                    </w:rPr>
                  </w:pPr>
                  <w:r>
                    <w:rPr>
                      <w:rFonts w:hint="eastAsia" w:ascii="宋体" w:hAnsi="宋体" w:eastAsia="宋体" w:cs="宋体"/>
                      <w:kern w:val="0"/>
                      <w:sz w:val="21"/>
                      <w:szCs w:val="21"/>
                      <w:lang w:bidi="ar"/>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2789" w:type="dxa"/>
                  <w:vAlign w:val="center"/>
                </w:tcPr>
                <w:p>
                  <w:pPr>
                    <w:widowControl/>
                    <w:spacing w:line="0" w:lineRule="atLeast"/>
                    <w:ind w:firstLine="0" w:firstLineChars="0"/>
                    <w:rPr>
                      <w:kern w:val="0"/>
                      <w:sz w:val="21"/>
                      <w:szCs w:val="21"/>
                    </w:rPr>
                  </w:pPr>
                  <w:r>
                    <w:rPr>
                      <w:rFonts w:hint="eastAsia" w:ascii="宋体" w:hAnsi="宋体" w:eastAsia="宋体" w:cs="宋体"/>
                      <w:kern w:val="0"/>
                      <w:sz w:val="21"/>
                      <w:szCs w:val="21"/>
                      <w:lang w:bidi="ar"/>
                    </w:rPr>
                    <w:t>本项目位于云南省楚雄州姚安县栋川镇下新屯村委会，属于城镇建成区，项目区不涉及饮用水水源保护区、水功能一级、二级区的保护区和保留区</w:t>
                  </w:r>
                </w:p>
              </w:tc>
              <w:tc>
                <w:tcPr>
                  <w:tcW w:w="669" w:type="dxa"/>
                  <w:vAlign w:val="center"/>
                </w:tcPr>
                <w:p>
                  <w:pPr>
                    <w:spacing w:line="0" w:lineRule="atLeast"/>
                    <w:ind w:firstLine="0" w:firstLineChars="0"/>
                    <w:jc w:val="center"/>
                    <w:rPr>
                      <w:kern w:val="0"/>
                      <w:sz w:val="21"/>
                      <w:szCs w:val="21"/>
                    </w:rPr>
                  </w:pPr>
                  <w:r>
                    <w:rPr>
                      <w:rFonts w:hint="eastAsia"/>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 w:type="dxa"/>
                  <w:vAlign w:val="center"/>
                </w:tcPr>
                <w:p>
                  <w:pPr>
                    <w:spacing w:line="0" w:lineRule="atLeast"/>
                    <w:ind w:firstLine="0" w:firstLineChars="0"/>
                    <w:jc w:val="center"/>
                    <w:rPr>
                      <w:kern w:val="0"/>
                      <w:sz w:val="21"/>
                      <w:szCs w:val="21"/>
                    </w:rPr>
                  </w:pPr>
                  <w:r>
                    <w:rPr>
                      <w:rFonts w:hint="eastAsia"/>
                      <w:kern w:val="0"/>
                      <w:sz w:val="21"/>
                      <w:szCs w:val="21"/>
                    </w:rPr>
                    <w:t>4</w:t>
                  </w:r>
                </w:p>
              </w:tc>
              <w:tc>
                <w:tcPr>
                  <w:tcW w:w="3006" w:type="dxa"/>
                  <w:vAlign w:val="center"/>
                </w:tcPr>
                <w:p>
                  <w:pPr>
                    <w:widowControl/>
                    <w:spacing w:line="0" w:lineRule="atLeast"/>
                    <w:ind w:firstLine="0" w:firstLineChars="0"/>
                    <w:rPr>
                      <w:kern w:val="0"/>
                      <w:sz w:val="21"/>
                      <w:szCs w:val="21"/>
                    </w:rPr>
                  </w:pPr>
                  <w:r>
                    <w:rPr>
                      <w:rFonts w:hint="eastAsia" w:ascii="宋体" w:hAnsi="宋体" w:eastAsia="宋体" w:cs="宋体"/>
                      <w:kern w:val="0"/>
                      <w:sz w:val="21"/>
                      <w:szCs w:val="21"/>
                      <w:lang w:bidi="ar"/>
                    </w:rPr>
                    <w:t>禁止在水产种质资源保护区的岸线和河段范围内新建排污口，以及围湖造田、围海造地或围填海等投资建设项目。禁止在国家湿地公园的岸线和河段范围内挖沙、采矿，以及任何不符合主体功能定位的投资建设项目。</w:t>
                  </w:r>
                </w:p>
              </w:tc>
              <w:tc>
                <w:tcPr>
                  <w:tcW w:w="2789" w:type="dxa"/>
                  <w:vAlign w:val="center"/>
                </w:tcPr>
                <w:p>
                  <w:pPr>
                    <w:widowControl/>
                    <w:spacing w:line="0" w:lineRule="atLeast"/>
                    <w:ind w:firstLine="0" w:firstLineChars="0"/>
                    <w:rPr>
                      <w:kern w:val="0"/>
                      <w:sz w:val="21"/>
                      <w:szCs w:val="21"/>
                    </w:rPr>
                  </w:pPr>
                  <w:r>
                    <w:rPr>
                      <w:rFonts w:hint="eastAsia" w:ascii="宋体" w:hAnsi="宋体" w:eastAsia="宋体" w:cs="宋体"/>
                      <w:kern w:val="0"/>
                      <w:sz w:val="21"/>
                      <w:szCs w:val="21"/>
                      <w:lang w:bidi="ar"/>
                    </w:rPr>
                    <w:t>本项目属于姚安县龙岗卫生院建设项目，位于云南省楚雄州姚安县栋川镇下新屯村委会，属于城镇建成区，项目区不涉及水产种质资源保护区及国家湿地公园。</w:t>
                  </w:r>
                </w:p>
              </w:tc>
              <w:tc>
                <w:tcPr>
                  <w:tcW w:w="669" w:type="dxa"/>
                  <w:vAlign w:val="center"/>
                </w:tcPr>
                <w:p>
                  <w:pPr>
                    <w:spacing w:line="0" w:lineRule="atLeast"/>
                    <w:ind w:firstLine="0" w:firstLineChars="0"/>
                    <w:jc w:val="center"/>
                    <w:rPr>
                      <w:kern w:val="0"/>
                      <w:sz w:val="21"/>
                      <w:szCs w:val="21"/>
                    </w:rPr>
                  </w:pPr>
                  <w:r>
                    <w:rPr>
                      <w:rFonts w:hint="eastAsia"/>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0" w:lineRule="atLeast"/>
                    <w:ind w:firstLine="0" w:firstLineChars="0"/>
                    <w:jc w:val="center"/>
                    <w:rPr>
                      <w:kern w:val="0"/>
                      <w:sz w:val="21"/>
                      <w:szCs w:val="21"/>
                    </w:rPr>
                  </w:pPr>
                  <w:r>
                    <w:rPr>
                      <w:rFonts w:hint="eastAsia"/>
                      <w:kern w:val="0"/>
                      <w:sz w:val="21"/>
                      <w:szCs w:val="21"/>
                    </w:rPr>
                    <w:t>5</w:t>
                  </w:r>
                </w:p>
              </w:tc>
              <w:tc>
                <w:tcPr>
                  <w:tcW w:w="3006" w:type="dxa"/>
                  <w:vAlign w:val="center"/>
                </w:tcPr>
                <w:p>
                  <w:pPr>
                    <w:widowControl/>
                    <w:spacing w:line="0" w:lineRule="atLeast"/>
                    <w:ind w:firstLine="0" w:firstLineChars="0"/>
                    <w:rPr>
                      <w:kern w:val="0"/>
                      <w:sz w:val="21"/>
                      <w:szCs w:val="21"/>
                    </w:rPr>
                  </w:pPr>
                  <w:r>
                    <w:rPr>
                      <w:rFonts w:hint="eastAsia" w:ascii="宋体" w:hAnsi="宋体" w:eastAsia="宋体" w:cs="宋体"/>
                      <w:kern w:val="0"/>
                      <w:sz w:val="21"/>
                      <w:szCs w:val="21"/>
                      <w:lang w:bidi="ar"/>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航道稳定以及保护生态环境以外的项目。禁止在《全国重要江河湖泊水功能区划》划定的河段保护区、保留区内投资建设不利于水资源及自然生态保护的项目。</w:t>
                  </w:r>
                </w:p>
              </w:tc>
              <w:tc>
                <w:tcPr>
                  <w:tcW w:w="2789" w:type="dxa"/>
                  <w:vAlign w:val="center"/>
                </w:tcPr>
                <w:p>
                  <w:pPr>
                    <w:widowControl/>
                    <w:spacing w:line="0" w:lineRule="atLeast"/>
                    <w:ind w:firstLine="0" w:firstLineChars="0"/>
                    <w:rPr>
                      <w:kern w:val="0"/>
                      <w:sz w:val="21"/>
                      <w:szCs w:val="21"/>
                    </w:rPr>
                  </w:pPr>
                  <w:r>
                    <w:rPr>
                      <w:rFonts w:hint="eastAsia" w:ascii="宋体" w:hAnsi="宋体" w:eastAsia="宋体" w:cs="宋体"/>
                      <w:kern w:val="0"/>
                      <w:sz w:val="21"/>
                      <w:szCs w:val="21"/>
                      <w:lang w:bidi="ar"/>
                    </w:rPr>
                    <w:t>本项目属于姚安县龙岗卫生院建设项目，位于云南省楚雄州姚安县栋川镇下新屯村委会，属于城镇建成区，本项目所在不在《长江岸线保护和开发利用总体规划》划定的岸线保护区以及《全国重要江河湖泊水功能区划》划定的河段保护区、保留区内。</w:t>
                  </w:r>
                </w:p>
              </w:tc>
              <w:tc>
                <w:tcPr>
                  <w:tcW w:w="669" w:type="dxa"/>
                  <w:vAlign w:val="center"/>
                </w:tcPr>
                <w:p>
                  <w:pPr>
                    <w:spacing w:line="0" w:lineRule="atLeast"/>
                    <w:ind w:firstLine="0" w:firstLineChars="0"/>
                    <w:jc w:val="center"/>
                    <w:rPr>
                      <w:kern w:val="0"/>
                      <w:sz w:val="21"/>
                      <w:szCs w:val="21"/>
                    </w:rPr>
                  </w:pPr>
                  <w:r>
                    <w:rPr>
                      <w:rFonts w:hint="eastAsia"/>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0" w:lineRule="atLeast"/>
                    <w:ind w:firstLine="0" w:firstLineChars="0"/>
                    <w:jc w:val="center"/>
                    <w:rPr>
                      <w:kern w:val="0"/>
                      <w:sz w:val="21"/>
                      <w:szCs w:val="21"/>
                    </w:rPr>
                  </w:pPr>
                  <w:r>
                    <w:rPr>
                      <w:rFonts w:hint="eastAsia"/>
                      <w:kern w:val="0"/>
                      <w:sz w:val="21"/>
                      <w:szCs w:val="21"/>
                    </w:rPr>
                    <w:t>6</w:t>
                  </w:r>
                </w:p>
              </w:tc>
              <w:tc>
                <w:tcPr>
                  <w:tcW w:w="3006" w:type="dxa"/>
                  <w:vAlign w:val="center"/>
                </w:tcPr>
                <w:p>
                  <w:pPr>
                    <w:widowControl/>
                    <w:spacing w:line="0" w:lineRule="atLeast"/>
                    <w:ind w:firstLine="0" w:firstLineChars="0"/>
                    <w:rPr>
                      <w:kern w:val="0"/>
                      <w:sz w:val="21"/>
                      <w:szCs w:val="21"/>
                    </w:rPr>
                  </w:pPr>
                  <w:r>
                    <w:rPr>
                      <w:rFonts w:hint="eastAsia" w:ascii="宋体" w:hAnsi="宋体" w:eastAsia="宋体" w:cs="宋体"/>
                      <w:kern w:val="0"/>
                      <w:sz w:val="21"/>
                      <w:szCs w:val="21"/>
                      <w:lang w:bidi="ar"/>
                    </w:rPr>
                    <w:t>禁止在生态保护红线和永久基本农田范围内投资建设除国家重大战略资源勘查项目、生态保护修复和环境治理项目、重大基础设施项目、军事国防项目以及农牧民基本生产生活等必要的民生项目以外的项目。</w:t>
                  </w:r>
                </w:p>
              </w:tc>
              <w:tc>
                <w:tcPr>
                  <w:tcW w:w="2789" w:type="dxa"/>
                  <w:vAlign w:val="center"/>
                </w:tcPr>
                <w:p>
                  <w:pPr>
                    <w:widowControl/>
                    <w:spacing w:line="0" w:lineRule="atLeast"/>
                    <w:ind w:firstLine="0" w:firstLineChars="0"/>
                    <w:rPr>
                      <w:kern w:val="0"/>
                      <w:sz w:val="21"/>
                      <w:szCs w:val="21"/>
                    </w:rPr>
                  </w:pPr>
                  <w:r>
                    <w:rPr>
                      <w:rFonts w:hint="eastAsia" w:ascii="宋体" w:hAnsi="宋体" w:eastAsia="宋体" w:cs="宋体"/>
                      <w:kern w:val="0"/>
                      <w:sz w:val="21"/>
                      <w:szCs w:val="21"/>
                      <w:lang w:bidi="ar"/>
                    </w:rPr>
                    <w:t>本项目位于云南省楚雄州姚安县栋川镇下新屯村委会，属于城镇建成区，项目不在生态保护红线和永久基本农田范围内。</w:t>
                  </w:r>
                </w:p>
              </w:tc>
              <w:tc>
                <w:tcPr>
                  <w:tcW w:w="669" w:type="dxa"/>
                  <w:vAlign w:val="center"/>
                </w:tcPr>
                <w:p>
                  <w:pPr>
                    <w:spacing w:line="0" w:lineRule="atLeast"/>
                    <w:ind w:firstLine="0" w:firstLineChars="0"/>
                    <w:jc w:val="center"/>
                    <w:rPr>
                      <w:kern w:val="0"/>
                      <w:sz w:val="21"/>
                      <w:szCs w:val="21"/>
                    </w:rPr>
                  </w:pPr>
                  <w:r>
                    <w:rPr>
                      <w:rFonts w:hint="eastAsia"/>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0" w:lineRule="atLeast"/>
                    <w:ind w:firstLine="0" w:firstLineChars="0"/>
                    <w:jc w:val="center"/>
                    <w:rPr>
                      <w:kern w:val="0"/>
                      <w:sz w:val="21"/>
                      <w:szCs w:val="21"/>
                    </w:rPr>
                  </w:pPr>
                  <w:r>
                    <w:rPr>
                      <w:rFonts w:hint="eastAsia"/>
                      <w:kern w:val="0"/>
                      <w:sz w:val="21"/>
                      <w:szCs w:val="21"/>
                    </w:rPr>
                    <w:t>7</w:t>
                  </w:r>
                </w:p>
              </w:tc>
              <w:tc>
                <w:tcPr>
                  <w:tcW w:w="3006" w:type="dxa"/>
                  <w:vAlign w:val="center"/>
                </w:tcPr>
                <w:p>
                  <w:pPr>
                    <w:widowControl/>
                    <w:spacing w:line="0" w:lineRule="atLeast"/>
                    <w:ind w:firstLine="0" w:firstLineChars="0"/>
                    <w:rPr>
                      <w:kern w:val="0"/>
                      <w:sz w:val="21"/>
                      <w:szCs w:val="21"/>
                    </w:rPr>
                  </w:pPr>
                  <w:r>
                    <w:rPr>
                      <w:rFonts w:hint="eastAsia" w:ascii="宋体" w:hAnsi="宋体" w:eastAsia="宋体" w:cs="宋体"/>
                      <w:kern w:val="0"/>
                      <w:sz w:val="21"/>
                      <w:szCs w:val="21"/>
                      <w:lang w:bidi="ar"/>
                    </w:rPr>
                    <w:t xml:space="preserve">禁止在长江干支流 </w:t>
                  </w:r>
                  <w:r>
                    <w:rPr>
                      <w:rFonts w:eastAsia="宋体" w:cs="Times New Roman"/>
                      <w:kern w:val="0"/>
                      <w:sz w:val="21"/>
                      <w:szCs w:val="21"/>
                      <w:lang w:bidi="ar"/>
                    </w:rPr>
                    <w:t>1</w:t>
                  </w:r>
                  <w:r>
                    <w:rPr>
                      <w:rFonts w:hint="eastAsia" w:ascii="宋体" w:hAnsi="宋体" w:eastAsia="宋体" w:cs="宋体"/>
                      <w:kern w:val="0"/>
                      <w:sz w:val="21"/>
                      <w:szCs w:val="21"/>
                      <w:lang w:bidi="ar"/>
                    </w:rPr>
                    <w:t>公里范围内新建、扩建化工园区和化工项目。禁止在合规园区外新建、扩建钢铁、石化、化工、焦化、建材、有色等高污染项目。</w:t>
                  </w:r>
                </w:p>
              </w:tc>
              <w:tc>
                <w:tcPr>
                  <w:tcW w:w="2789" w:type="dxa"/>
                  <w:vAlign w:val="center"/>
                </w:tcPr>
                <w:p>
                  <w:pPr>
                    <w:widowControl/>
                    <w:spacing w:line="0" w:lineRule="atLeast"/>
                    <w:ind w:firstLine="0" w:firstLineChars="0"/>
                    <w:rPr>
                      <w:kern w:val="0"/>
                      <w:sz w:val="21"/>
                      <w:szCs w:val="21"/>
                    </w:rPr>
                  </w:pPr>
                  <w:r>
                    <w:rPr>
                      <w:rFonts w:hint="eastAsia" w:ascii="宋体" w:hAnsi="宋体" w:eastAsia="宋体" w:cs="宋体"/>
                      <w:kern w:val="0"/>
                      <w:sz w:val="21"/>
                      <w:szCs w:val="21"/>
                      <w:lang w:bidi="ar"/>
                    </w:rPr>
                    <w:t>本项目属于姚安县龙岗卫生院建设项目，不属于化工项目，项目位于云南省楚雄州姚安县栋川镇下新屯村委会，属于城镇建成区。</w:t>
                  </w:r>
                </w:p>
              </w:tc>
              <w:tc>
                <w:tcPr>
                  <w:tcW w:w="669" w:type="dxa"/>
                  <w:vAlign w:val="center"/>
                </w:tcPr>
                <w:p>
                  <w:pPr>
                    <w:spacing w:line="0" w:lineRule="atLeast"/>
                    <w:ind w:firstLine="0" w:firstLineChars="0"/>
                    <w:jc w:val="center"/>
                    <w:rPr>
                      <w:kern w:val="0"/>
                      <w:sz w:val="21"/>
                      <w:szCs w:val="21"/>
                    </w:rPr>
                  </w:pPr>
                  <w:r>
                    <w:rPr>
                      <w:rFonts w:hint="eastAsia"/>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 w:type="dxa"/>
                  <w:vAlign w:val="center"/>
                </w:tcPr>
                <w:p>
                  <w:pPr>
                    <w:spacing w:line="0" w:lineRule="atLeast"/>
                    <w:ind w:firstLine="0" w:firstLineChars="0"/>
                    <w:jc w:val="center"/>
                    <w:rPr>
                      <w:kern w:val="0"/>
                      <w:sz w:val="21"/>
                      <w:szCs w:val="21"/>
                    </w:rPr>
                  </w:pPr>
                  <w:r>
                    <w:rPr>
                      <w:rFonts w:hint="eastAsia"/>
                      <w:kern w:val="0"/>
                      <w:sz w:val="21"/>
                      <w:szCs w:val="21"/>
                    </w:rPr>
                    <w:t>8</w:t>
                  </w:r>
                </w:p>
              </w:tc>
              <w:tc>
                <w:tcPr>
                  <w:tcW w:w="3006" w:type="dxa"/>
                  <w:vAlign w:val="center"/>
                </w:tcPr>
                <w:p>
                  <w:pPr>
                    <w:widowControl/>
                    <w:spacing w:line="0" w:lineRule="atLeast"/>
                    <w:ind w:firstLine="0" w:firstLineChars="0"/>
                    <w:rPr>
                      <w:kern w:val="0"/>
                      <w:sz w:val="21"/>
                      <w:szCs w:val="21"/>
                    </w:rPr>
                  </w:pPr>
                  <w:r>
                    <w:rPr>
                      <w:rFonts w:hint="eastAsia" w:ascii="宋体" w:hAnsi="宋体" w:eastAsia="宋体" w:cs="宋体"/>
                      <w:kern w:val="0"/>
                      <w:sz w:val="21"/>
                      <w:szCs w:val="21"/>
                      <w:lang w:bidi="ar"/>
                    </w:rPr>
                    <w:t>禁止新建、扩建不符合国家石化、现代煤化工等产业布局规划的项目。</w:t>
                  </w:r>
                </w:p>
              </w:tc>
              <w:tc>
                <w:tcPr>
                  <w:tcW w:w="2789" w:type="dxa"/>
                  <w:vAlign w:val="center"/>
                </w:tcPr>
                <w:p>
                  <w:pPr>
                    <w:widowControl/>
                    <w:spacing w:line="0" w:lineRule="atLeast"/>
                    <w:ind w:firstLine="0" w:firstLineChars="0"/>
                    <w:rPr>
                      <w:kern w:val="0"/>
                      <w:sz w:val="21"/>
                      <w:szCs w:val="21"/>
                    </w:rPr>
                  </w:pPr>
                  <w:r>
                    <w:rPr>
                      <w:rFonts w:hint="eastAsia" w:ascii="宋体" w:hAnsi="宋体" w:eastAsia="宋体" w:cs="宋体"/>
                      <w:kern w:val="0"/>
                      <w:sz w:val="21"/>
                      <w:szCs w:val="21"/>
                      <w:lang w:bidi="ar"/>
                    </w:rPr>
                    <w:t>本项目属于姚安县龙岗卫生院建设项目，不属于石化、现代煤化工项目。</w:t>
                  </w:r>
                </w:p>
              </w:tc>
              <w:tc>
                <w:tcPr>
                  <w:tcW w:w="669" w:type="dxa"/>
                  <w:vAlign w:val="center"/>
                </w:tcPr>
                <w:p>
                  <w:pPr>
                    <w:spacing w:line="0" w:lineRule="atLeast"/>
                    <w:ind w:firstLine="0" w:firstLineChars="0"/>
                    <w:jc w:val="center"/>
                    <w:rPr>
                      <w:kern w:val="0"/>
                      <w:sz w:val="21"/>
                      <w:szCs w:val="21"/>
                    </w:rPr>
                  </w:pPr>
                  <w:r>
                    <w:rPr>
                      <w:rFonts w:hint="eastAsia"/>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 w:type="dxa"/>
                  <w:vAlign w:val="center"/>
                </w:tcPr>
                <w:p>
                  <w:pPr>
                    <w:spacing w:line="0" w:lineRule="atLeast"/>
                    <w:ind w:firstLine="0" w:firstLineChars="0"/>
                    <w:jc w:val="center"/>
                    <w:rPr>
                      <w:kern w:val="0"/>
                      <w:sz w:val="21"/>
                      <w:szCs w:val="21"/>
                    </w:rPr>
                  </w:pPr>
                  <w:r>
                    <w:rPr>
                      <w:rFonts w:hint="eastAsia"/>
                      <w:kern w:val="0"/>
                      <w:sz w:val="21"/>
                      <w:szCs w:val="21"/>
                    </w:rPr>
                    <w:t>9</w:t>
                  </w:r>
                </w:p>
              </w:tc>
              <w:tc>
                <w:tcPr>
                  <w:tcW w:w="3006" w:type="dxa"/>
                  <w:vAlign w:val="center"/>
                </w:tcPr>
                <w:p>
                  <w:pPr>
                    <w:widowControl/>
                    <w:spacing w:line="0" w:lineRule="atLeast"/>
                    <w:ind w:firstLine="0" w:firstLineChars="0"/>
                    <w:rPr>
                      <w:kern w:val="0"/>
                      <w:sz w:val="21"/>
                      <w:szCs w:val="21"/>
                    </w:rPr>
                  </w:pPr>
                  <w:r>
                    <w:rPr>
                      <w:rFonts w:hint="eastAsia" w:ascii="宋体" w:hAnsi="宋体" w:eastAsia="宋体" w:cs="宋体"/>
                      <w:kern w:val="0"/>
                      <w:sz w:val="21"/>
                      <w:szCs w:val="21"/>
                      <w:lang w:bidi="ar"/>
                    </w:rPr>
                    <w:t>禁止新建、扩建法律法规和相关政策明令禁止的落后产能项目。</w:t>
                  </w:r>
                </w:p>
              </w:tc>
              <w:tc>
                <w:tcPr>
                  <w:tcW w:w="2789" w:type="dxa"/>
                  <w:vAlign w:val="center"/>
                </w:tcPr>
                <w:p>
                  <w:pPr>
                    <w:widowControl/>
                    <w:spacing w:line="0" w:lineRule="atLeast"/>
                    <w:ind w:firstLine="0" w:firstLineChars="0"/>
                    <w:rPr>
                      <w:kern w:val="0"/>
                      <w:sz w:val="21"/>
                      <w:szCs w:val="21"/>
                    </w:rPr>
                  </w:pPr>
                  <w:r>
                    <w:rPr>
                      <w:rFonts w:hint="eastAsia" w:ascii="宋体" w:hAnsi="宋体" w:eastAsia="宋体" w:cs="宋体"/>
                      <w:kern w:val="0"/>
                      <w:sz w:val="21"/>
                      <w:szCs w:val="21"/>
                      <w:lang w:bidi="ar"/>
                    </w:rPr>
                    <w:t>本项目不在《市场准入负面清单（</w:t>
                  </w:r>
                  <w:r>
                    <w:rPr>
                      <w:rFonts w:eastAsia="宋体" w:cs="Times New Roman"/>
                      <w:kern w:val="0"/>
                      <w:sz w:val="21"/>
                      <w:szCs w:val="21"/>
                      <w:lang w:bidi="ar"/>
                    </w:rPr>
                    <w:t xml:space="preserve">2019 </w:t>
                  </w:r>
                  <w:r>
                    <w:rPr>
                      <w:rFonts w:hint="eastAsia" w:ascii="宋体" w:hAnsi="宋体" w:eastAsia="宋体" w:cs="宋体"/>
                      <w:kern w:val="0"/>
                      <w:sz w:val="21"/>
                      <w:szCs w:val="21"/>
                      <w:lang w:bidi="ar"/>
                    </w:rPr>
                    <w:t>年版）》范围内。属于《产业结构调整指导目录（</w:t>
                  </w:r>
                  <w:r>
                    <w:rPr>
                      <w:rFonts w:eastAsia="宋体" w:cs="Times New Roman"/>
                      <w:kern w:val="0"/>
                      <w:sz w:val="21"/>
                      <w:szCs w:val="21"/>
                      <w:lang w:bidi="ar"/>
                    </w:rPr>
                    <w:t xml:space="preserve">2019 </w:t>
                  </w:r>
                  <w:r>
                    <w:rPr>
                      <w:rFonts w:hint="eastAsia" w:ascii="宋体" w:hAnsi="宋体" w:eastAsia="宋体" w:cs="宋体"/>
                      <w:kern w:val="0"/>
                      <w:sz w:val="21"/>
                      <w:szCs w:val="21"/>
                      <w:lang w:bidi="ar"/>
                    </w:rPr>
                    <w:t>年本）》规定中鼓励类项目（第三十七款</w:t>
                  </w:r>
                  <w:r>
                    <w:rPr>
                      <w:rFonts w:eastAsia="宋体" w:cs="Times New Roman"/>
                      <w:kern w:val="0"/>
                      <w:sz w:val="21"/>
                      <w:szCs w:val="21"/>
                      <w:lang w:bidi="ar"/>
                    </w:rPr>
                    <w:t>“</w:t>
                  </w:r>
                  <w:r>
                    <w:rPr>
                      <w:rFonts w:hint="eastAsia" w:ascii="宋体" w:hAnsi="宋体" w:eastAsia="宋体" w:cs="宋体"/>
                      <w:kern w:val="0"/>
                      <w:sz w:val="21"/>
                      <w:szCs w:val="21"/>
                      <w:lang w:bidi="ar"/>
                    </w:rPr>
                    <w:t>卫生健康</w:t>
                  </w:r>
                  <w:r>
                    <w:rPr>
                      <w:rFonts w:eastAsia="宋体" w:cs="Times New Roman"/>
                      <w:kern w:val="0"/>
                      <w:sz w:val="21"/>
                      <w:szCs w:val="21"/>
                      <w:lang w:bidi="ar"/>
                    </w:rPr>
                    <w:t>”</w:t>
                  </w:r>
                  <w:r>
                    <w:rPr>
                      <w:rFonts w:hint="eastAsia" w:ascii="宋体" w:hAnsi="宋体" w:eastAsia="宋体" w:cs="宋体"/>
                      <w:kern w:val="0"/>
                      <w:sz w:val="21"/>
                      <w:szCs w:val="21"/>
                      <w:lang w:bidi="ar"/>
                    </w:rPr>
                    <w:t xml:space="preserve">中第 </w:t>
                  </w:r>
                  <w:r>
                    <w:rPr>
                      <w:rFonts w:eastAsia="宋体" w:cs="Times New Roman"/>
                      <w:kern w:val="0"/>
                      <w:sz w:val="21"/>
                      <w:szCs w:val="21"/>
                      <w:lang w:bidi="ar"/>
                    </w:rPr>
                    <w:t xml:space="preserve">5 </w:t>
                  </w:r>
                  <w:r>
                    <w:rPr>
                      <w:rFonts w:hint="eastAsia" w:ascii="宋体" w:hAnsi="宋体" w:eastAsia="宋体" w:cs="宋体"/>
                      <w:kern w:val="0"/>
                      <w:sz w:val="21"/>
                      <w:szCs w:val="21"/>
                      <w:lang w:bidi="ar"/>
                    </w:rPr>
                    <w:t xml:space="preserve">条医疗卫生服务设施建设）。因此，本项目的建设符合国家有关产业政策 </w:t>
                  </w:r>
                </w:p>
              </w:tc>
              <w:tc>
                <w:tcPr>
                  <w:tcW w:w="669" w:type="dxa"/>
                  <w:vAlign w:val="center"/>
                </w:tcPr>
                <w:p>
                  <w:pPr>
                    <w:spacing w:line="0" w:lineRule="atLeast"/>
                    <w:ind w:firstLine="0" w:firstLineChars="0"/>
                    <w:jc w:val="center"/>
                    <w:rPr>
                      <w:kern w:val="0"/>
                      <w:sz w:val="21"/>
                      <w:szCs w:val="21"/>
                    </w:rPr>
                  </w:pPr>
                  <w:r>
                    <w:rPr>
                      <w:rFonts w:hint="eastAsia"/>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0" w:lineRule="atLeast"/>
                    <w:ind w:firstLine="0" w:firstLineChars="0"/>
                    <w:jc w:val="center"/>
                    <w:rPr>
                      <w:kern w:val="0"/>
                      <w:sz w:val="21"/>
                      <w:szCs w:val="21"/>
                    </w:rPr>
                  </w:pPr>
                  <w:r>
                    <w:rPr>
                      <w:rFonts w:hint="eastAsia"/>
                      <w:kern w:val="0"/>
                      <w:sz w:val="21"/>
                      <w:szCs w:val="21"/>
                    </w:rPr>
                    <w:t>10</w:t>
                  </w:r>
                </w:p>
              </w:tc>
              <w:tc>
                <w:tcPr>
                  <w:tcW w:w="3006" w:type="dxa"/>
                  <w:vAlign w:val="center"/>
                </w:tcPr>
                <w:p>
                  <w:pPr>
                    <w:widowControl/>
                    <w:spacing w:line="0" w:lineRule="atLeast"/>
                    <w:ind w:firstLine="0" w:firstLineChars="0"/>
                    <w:rPr>
                      <w:kern w:val="0"/>
                      <w:sz w:val="21"/>
                      <w:szCs w:val="21"/>
                    </w:rPr>
                  </w:pPr>
                  <w:r>
                    <w:rPr>
                      <w:rFonts w:hint="eastAsia" w:ascii="宋体" w:hAnsi="宋体" w:eastAsia="宋体" w:cs="宋体"/>
                      <w:kern w:val="0"/>
                      <w:sz w:val="21"/>
                      <w:szCs w:val="21"/>
                      <w:lang w:bidi="ar"/>
                    </w:rPr>
                    <w:t>禁止新建、扩建不符合国家产能置换要求的严重过剩产能行业的项目。</w:t>
                  </w:r>
                </w:p>
              </w:tc>
              <w:tc>
                <w:tcPr>
                  <w:tcW w:w="2789" w:type="dxa"/>
                  <w:vAlign w:val="center"/>
                </w:tcPr>
                <w:p>
                  <w:pPr>
                    <w:widowControl/>
                    <w:spacing w:line="0" w:lineRule="atLeast"/>
                    <w:ind w:firstLine="0" w:firstLineChars="0"/>
                    <w:rPr>
                      <w:kern w:val="0"/>
                      <w:sz w:val="21"/>
                      <w:szCs w:val="21"/>
                    </w:rPr>
                  </w:pPr>
                  <w:r>
                    <w:rPr>
                      <w:rFonts w:hint="eastAsia" w:ascii="宋体" w:hAnsi="宋体" w:eastAsia="宋体" w:cs="宋体"/>
                      <w:kern w:val="0"/>
                      <w:sz w:val="21"/>
                      <w:szCs w:val="21"/>
                      <w:lang w:bidi="ar"/>
                    </w:rPr>
                    <w:t>本项目属于卫生院建设项目，本项目不在《市场准入负面清单（</w:t>
                  </w:r>
                  <w:r>
                    <w:rPr>
                      <w:rFonts w:eastAsia="宋体" w:cs="Times New Roman"/>
                      <w:kern w:val="0"/>
                      <w:sz w:val="21"/>
                      <w:szCs w:val="21"/>
                      <w:lang w:bidi="ar"/>
                    </w:rPr>
                    <w:t xml:space="preserve">2019 </w:t>
                  </w:r>
                  <w:r>
                    <w:rPr>
                      <w:rFonts w:hint="eastAsia" w:ascii="宋体" w:hAnsi="宋体" w:eastAsia="宋体" w:cs="宋体"/>
                      <w:kern w:val="0"/>
                      <w:sz w:val="21"/>
                      <w:szCs w:val="21"/>
                      <w:lang w:bidi="ar"/>
                    </w:rPr>
                    <w:t>年版）》范围内。属于《产业结构调整指导目录（</w:t>
                  </w:r>
                  <w:r>
                    <w:rPr>
                      <w:rFonts w:eastAsia="宋体" w:cs="Times New Roman"/>
                      <w:kern w:val="0"/>
                      <w:sz w:val="21"/>
                      <w:szCs w:val="21"/>
                      <w:lang w:bidi="ar"/>
                    </w:rPr>
                    <w:t xml:space="preserve">2019 </w:t>
                  </w:r>
                  <w:r>
                    <w:rPr>
                      <w:rFonts w:hint="eastAsia" w:ascii="宋体" w:hAnsi="宋体" w:eastAsia="宋体" w:cs="宋体"/>
                      <w:kern w:val="0"/>
                      <w:sz w:val="21"/>
                      <w:szCs w:val="21"/>
                      <w:lang w:bidi="ar"/>
                    </w:rPr>
                    <w:t>年本）》规定中鼓励类项目（第三十七款</w:t>
                  </w:r>
                  <w:r>
                    <w:rPr>
                      <w:rFonts w:eastAsia="宋体" w:cs="Times New Roman"/>
                      <w:kern w:val="0"/>
                      <w:sz w:val="21"/>
                      <w:szCs w:val="21"/>
                      <w:lang w:bidi="ar"/>
                    </w:rPr>
                    <w:t>“</w:t>
                  </w:r>
                  <w:r>
                    <w:rPr>
                      <w:rFonts w:hint="eastAsia" w:ascii="宋体" w:hAnsi="宋体" w:eastAsia="宋体" w:cs="宋体"/>
                      <w:kern w:val="0"/>
                      <w:sz w:val="21"/>
                      <w:szCs w:val="21"/>
                      <w:lang w:bidi="ar"/>
                    </w:rPr>
                    <w:t>卫生健康</w:t>
                  </w:r>
                  <w:r>
                    <w:rPr>
                      <w:rFonts w:eastAsia="宋体" w:cs="Times New Roman"/>
                      <w:kern w:val="0"/>
                      <w:sz w:val="21"/>
                      <w:szCs w:val="21"/>
                      <w:lang w:bidi="ar"/>
                    </w:rPr>
                    <w:t>”</w:t>
                  </w:r>
                  <w:r>
                    <w:rPr>
                      <w:rFonts w:hint="eastAsia" w:ascii="宋体" w:hAnsi="宋体" w:eastAsia="宋体" w:cs="宋体"/>
                      <w:kern w:val="0"/>
                      <w:sz w:val="21"/>
                      <w:szCs w:val="21"/>
                      <w:lang w:bidi="ar"/>
                    </w:rPr>
                    <w:t xml:space="preserve">中第 </w:t>
                  </w:r>
                  <w:r>
                    <w:rPr>
                      <w:rFonts w:eastAsia="宋体" w:cs="Times New Roman"/>
                      <w:kern w:val="0"/>
                      <w:sz w:val="21"/>
                      <w:szCs w:val="21"/>
                      <w:lang w:bidi="ar"/>
                    </w:rPr>
                    <w:t xml:space="preserve">5 </w:t>
                  </w:r>
                  <w:r>
                    <w:rPr>
                      <w:rFonts w:hint="eastAsia" w:ascii="宋体" w:hAnsi="宋体" w:eastAsia="宋体" w:cs="宋体"/>
                      <w:kern w:val="0"/>
                      <w:sz w:val="21"/>
                      <w:szCs w:val="21"/>
                      <w:lang w:bidi="ar"/>
                    </w:rPr>
                    <w:t>条医疗卫生服务设施建设）。因此，本项目的建设符合国家有关产业政策</w:t>
                  </w:r>
                </w:p>
              </w:tc>
              <w:tc>
                <w:tcPr>
                  <w:tcW w:w="669" w:type="dxa"/>
                  <w:vAlign w:val="center"/>
                </w:tcPr>
                <w:p>
                  <w:pPr>
                    <w:spacing w:line="0" w:lineRule="atLeast"/>
                    <w:ind w:firstLine="0" w:firstLineChars="0"/>
                    <w:jc w:val="center"/>
                    <w:rPr>
                      <w:kern w:val="0"/>
                      <w:sz w:val="21"/>
                      <w:szCs w:val="21"/>
                    </w:rPr>
                  </w:pPr>
                  <w:r>
                    <w:rPr>
                      <w:rFonts w:hint="eastAsia"/>
                      <w:kern w:val="0"/>
                      <w:sz w:val="21"/>
                      <w:szCs w:val="21"/>
                    </w:rPr>
                    <w:t>符合</w:t>
                  </w:r>
                </w:p>
              </w:tc>
            </w:tr>
          </w:tbl>
          <w:p>
            <w:pPr>
              <w:ind w:firstLine="480"/>
              <w:rPr>
                <w:kern w:val="0"/>
              </w:rPr>
            </w:pPr>
            <w:r>
              <w:rPr>
                <w:rFonts w:hint="eastAsia"/>
                <w:kern w:val="0"/>
              </w:rPr>
              <w:t xml:space="preserve">根据表 </w:t>
            </w:r>
            <w:r>
              <w:rPr>
                <w:kern w:val="0"/>
              </w:rPr>
              <w:t>1-</w:t>
            </w:r>
            <w:r>
              <w:rPr>
                <w:rFonts w:hint="eastAsia"/>
                <w:kern w:val="0"/>
              </w:rPr>
              <w:t>7</w:t>
            </w:r>
            <w:r>
              <w:rPr>
                <w:kern w:val="0"/>
              </w:rPr>
              <w:t xml:space="preserve"> </w:t>
            </w:r>
            <w:r>
              <w:rPr>
                <w:rFonts w:hint="eastAsia"/>
                <w:kern w:val="0"/>
              </w:rPr>
              <w:t>分析结果，本项目与《云南省长江经济带发展负 面清单指南（试行）》符合。</w:t>
            </w:r>
          </w:p>
          <w:p>
            <w:pPr>
              <w:ind w:firstLine="480"/>
              <w:rPr>
                <w:kern w:val="0"/>
              </w:rPr>
            </w:pPr>
          </w:p>
          <w:p>
            <w:pPr>
              <w:ind w:firstLine="480"/>
              <w:rPr>
                <w:kern w:val="0"/>
              </w:rPr>
            </w:pPr>
          </w:p>
          <w:p>
            <w:pPr>
              <w:ind w:firstLine="480"/>
              <w:rPr>
                <w:kern w:val="0"/>
              </w:rPr>
            </w:pPr>
          </w:p>
          <w:p>
            <w:pPr>
              <w:ind w:firstLine="0" w:firstLineChars="0"/>
              <w:rPr>
                <w:b/>
              </w:rPr>
            </w:pPr>
          </w:p>
          <w:p>
            <w:pPr>
              <w:adjustRightInd w:val="0"/>
              <w:snapToGrid w:val="0"/>
              <w:spacing w:line="400" w:lineRule="exact"/>
              <w:ind w:firstLine="482"/>
              <w:rPr>
                <w:rFonts w:cs="Times New Roman" w:asciiTheme="minorEastAsia" w:hAnsiTheme="minorEastAsia"/>
                <w:b/>
                <w:bCs/>
                <w:szCs w:val="24"/>
              </w:rPr>
            </w:pPr>
          </w:p>
        </w:tc>
      </w:tr>
    </w:tbl>
    <w:p>
      <w:pPr>
        <w:widowControl/>
        <w:ind w:firstLine="480"/>
        <w:jc w:val="left"/>
        <w:rPr>
          <w:rFonts w:cs="Times New Roman" w:asciiTheme="minorEastAsia" w:hAnsiTheme="minorEastAsia"/>
          <w:szCs w:val="20"/>
        </w:rPr>
      </w:pPr>
      <w:r>
        <w:rPr>
          <w:rFonts w:cs="Times New Roman" w:asciiTheme="minorEastAsia" w:hAnsiTheme="minorEastAsia"/>
          <w:szCs w:val="20"/>
        </w:rPr>
        <w:br w:type="page"/>
      </w:r>
    </w:p>
    <w:p>
      <w:pPr>
        <w:pStyle w:val="4"/>
      </w:pPr>
      <w:bookmarkStart w:id="4" w:name="_Toc458883639"/>
      <w:bookmarkStart w:id="5" w:name="_Toc341946645"/>
      <w:bookmarkStart w:id="6" w:name="_Toc376855813"/>
      <w:bookmarkStart w:id="7" w:name="_Toc68101066"/>
      <w:r>
        <w:rPr>
          <w:rFonts w:hint="eastAsia"/>
        </w:rPr>
        <w:t>二、建设项目</w:t>
      </w:r>
      <w:bookmarkEnd w:id="4"/>
      <w:bookmarkEnd w:id="5"/>
      <w:bookmarkEnd w:id="6"/>
      <w:r>
        <w:rPr>
          <w:rFonts w:hint="eastAsia"/>
        </w:rPr>
        <w:t>工程分析</w:t>
      </w:r>
      <w:bookmarkEnd w:id="7"/>
    </w:p>
    <w:tbl>
      <w:tblPr>
        <w:tblStyle w:val="36"/>
        <w:tblW w:w="94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
        <w:gridCol w:w="85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75" w:type="dxa"/>
            <w:vAlign w:val="center"/>
          </w:tcPr>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r>
              <w:rPr>
                <w:rFonts w:hint="eastAsia"/>
                <w:b/>
                <w:kern w:val="0"/>
              </w:rPr>
              <w:t>建设内容</w:t>
            </w: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r>
              <w:rPr>
                <w:rFonts w:hint="eastAsia"/>
                <w:b/>
                <w:kern w:val="0"/>
              </w:rPr>
              <w:t>建设内容</w:t>
            </w: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p>
          <w:p>
            <w:pPr>
              <w:spacing w:line="240" w:lineRule="auto"/>
              <w:ind w:firstLine="0" w:firstLineChars="0"/>
              <w:jc w:val="center"/>
              <w:rPr>
                <w:b/>
                <w:kern w:val="0"/>
              </w:rPr>
            </w:pPr>
            <w:r>
              <w:rPr>
                <w:rFonts w:hint="eastAsia"/>
                <w:b/>
                <w:kern w:val="0"/>
              </w:rPr>
              <w:t>建设内容</w:t>
            </w:r>
          </w:p>
        </w:tc>
        <w:tc>
          <w:tcPr>
            <w:tcW w:w="8584" w:type="dxa"/>
            <w:tcBorders>
              <w:bottom w:val="single" w:color="auto" w:sz="12" w:space="0"/>
            </w:tcBorders>
          </w:tcPr>
          <w:p>
            <w:pPr>
              <w:pStyle w:val="5"/>
              <w:spacing w:before="326"/>
              <w:ind w:firstLine="482"/>
            </w:pPr>
            <w:r>
              <w:rPr>
                <w:rFonts w:hint="eastAsia"/>
              </w:rPr>
              <w:t>1、项目基本情况</w:t>
            </w:r>
          </w:p>
          <w:p>
            <w:pPr>
              <w:widowControl/>
              <w:ind w:firstLine="482"/>
              <w:jc w:val="left"/>
            </w:pPr>
            <w:r>
              <w:rPr>
                <w:rFonts w:hint="eastAsia" w:ascii="宋体" w:hAnsi="宋体" w:eastAsia="宋体" w:cs="宋体"/>
                <w:b/>
                <w:kern w:val="0"/>
                <w:szCs w:val="24"/>
                <w:lang w:bidi="ar"/>
              </w:rPr>
              <w:t>项目名称：</w:t>
            </w:r>
            <w:r>
              <w:rPr>
                <w:rFonts w:hint="eastAsia" w:eastAsia="宋体" w:cs="Times New Roman" w:asciiTheme="minorEastAsia" w:hAnsiTheme="minorEastAsia"/>
                <w:szCs w:val="24"/>
              </w:rPr>
              <w:t>姚安县龙岗卫生院</w:t>
            </w:r>
            <w:r>
              <w:rPr>
                <w:rFonts w:hint="eastAsia" w:cs="Times New Roman" w:asciiTheme="minorEastAsia" w:hAnsiTheme="minorEastAsia"/>
                <w:szCs w:val="24"/>
              </w:rPr>
              <w:t>建设项目</w:t>
            </w:r>
            <w:r>
              <w:rPr>
                <w:rFonts w:hint="eastAsia" w:ascii="宋体" w:hAnsi="宋体" w:eastAsia="宋体" w:cs="宋体"/>
                <w:kern w:val="0"/>
                <w:szCs w:val="24"/>
                <w:lang w:bidi="ar"/>
              </w:rPr>
              <w:t xml:space="preserve"> </w:t>
            </w:r>
          </w:p>
          <w:p>
            <w:pPr>
              <w:widowControl/>
              <w:ind w:firstLine="482"/>
              <w:jc w:val="left"/>
            </w:pPr>
            <w:r>
              <w:rPr>
                <w:rFonts w:hint="eastAsia" w:ascii="宋体" w:hAnsi="宋体" w:eastAsia="宋体" w:cs="宋体"/>
                <w:b/>
                <w:kern w:val="0"/>
                <w:szCs w:val="24"/>
                <w:lang w:bidi="ar"/>
              </w:rPr>
              <w:t>建设单位：</w:t>
            </w:r>
            <w:r>
              <w:rPr>
                <w:rFonts w:hint="eastAsia" w:ascii="宋体" w:hAnsi="宋体" w:eastAsia="宋体" w:cs="宋体"/>
                <w:kern w:val="0"/>
                <w:szCs w:val="24"/>
                <w:lang w:bidi="ar"/>
              </w:rPr>
              <w:t xml:space="preserve">姚安县龙岗卫生院 </w:t>
            </w:r>
          </w:p>
          <w:p>
            <w:pPr>
              <w:widowControl/>
              <w:ind w:firstLine="482"/>
              <w:jc w:val="left"/>
            </w:pPr>
            <w:r>
              <w:rPr>
                <w:rFonts w:hint="eastAsia" w:ascii="宋体" w:hAnsi="宋体" w:eastAsia="宋体" w:cs="宋体"/>
                <w:b/>
                <w:kern w:val="0"/>
                <w:szCs w:val="24"/>
                <w:lang w:bidi="ar"/>
              </w:rPr>
              <w:t>建设地点：</w:t>
            </w:r>
            <w:r>
              <w:rPr>
                <w:rFonts w:hint="eastAsia" w:ascii="宋体" w:hAnsi="宋体" w:eastAsia="宋体" w:cs="宋体"/>
                <w:kern w:val="0"/>
                <w:szCs w:val="24"/>
                <w:lang w:bidi="ar"/>
              </w:rPr>
              <w:t xml:space="preserve">云南省楚雄州姚安县栋川镇下新屯村委会 </w:t>
            </w:r>
          </w:p>
          <w:p>
            <w:pPr>
              <w:widowControl/>
              <w:ind w:firstLine="482"/>
              <w:jc w:val="left"/>
            </w:pPr>
            <w:r>
              <w:rPr>
                <w:rFonts w:hint="eastAsia" w:ascii="宋体" w:hAnsi="宋体" w:eastAsia="宋体" w:cs="宋体"/>
                <w:b/>
                <w:kern w:val="0"/>
                <w:szCs w:val="24"/>
                <w:lang w:bidi="ar"/>
              </w:rPr>
              <w:t>建设性质：</w:t>
            </w:r>
            <w:r>
              <w:rPr>
                <w:rFonts w:hint="eastAsia" w:ascii="宋体" w:hAnsi="宋体" w:eastAsia="宋体" w:cs="宋体"/>
                <w:kern w:val="0"/>
                <w:szCs w:val="24"/>
                <w:lang w:bidi="ar"/>
              </w:rPr>
              <w:t>新建（补办）。姚安县龙岗卫生院成立于</w:t>
            </w:r>
            <w:r>
              <w:rPr>
                <w:rFonts w:eastAsia="宋体" w:cs="Times New Roman"/>
                <w:kern w:val="0"/>
                <w:szCs w:val="24"/>
                <w:lang w:bidi="ar"/>
              </w:rPr>
              <w:t>19</w:t>
            </w:r>
            <w:r>
              <w:rPr>
                <w:rFonts w:hint="eastAsia" w:eastAsia="宋体" w:cs="Times New Roman"/>
                <w:kern w:val="0"/>
                <w:szCs w:val="24"/>
                <w:lang w:bidi="ar"/>
              </w:rPr>
              <w:t>67</w:t>
            </w:r>
            <w:r>
              <w:rPr>
                <w:rFonts w:hint="eastAsia" w:ascii="宋体" w:hAnsi="宋体" w:eastAsia="宋体" w:cs="宋体"/>
                <w:kern w:val="0"/>
                <w:szCs w:val="24"/>
                <w:lang w:bidi="ar"/>
              </w:rPr>
              <w:t>年，医院建成至今已有54年，</w:t>
            </w:r>
            <w:r>
              <w:rPr>
                <w:rFonts w:hint="eastAsia" w:ascii="宋体" w:hAnsi="宋体" w:eastAsia="宋体" w:cs="宋体"/>
                <w:color w:val="FF0000"/>
                <w:kern w:val="0"/>
                <w:szCs w:val="24"/>
                <w:lang w:bidi="ar"/>
              </w:rPr>
              <w:t>为解决历史遗留问题，完善环评手续。</w:t>
            </w:r>
          </w:p>
          <w:p>
            <w:pPr>
              <w:widowControl/>
              <w:ind w:firstLine="482"/>
              <w:jc w:val="left"/>
            </w:pPr>
            <w:r>
              <w:rPr>
                <w:rFonts w:hint="eastAsia" w:ascii="宋体" w:hAnsi="宋体" w:eastAsia="宋体" w:cs="宋体"/>
                <w:b/>
                <w:kern w:val="0"/>
                <w:szCs w:val="24"/>
                <w:lang w:bidi="ar"/>
              </w:rPr>
              <w:t>项目内容和规模：</w:t>
            </w:r>
            <w:r>
              <w:rPr>
                <w:rFonts w:hint="eastAsia" w:ascii="宋体" w:hAnsi="宋体" w:eastAsia="宋体" w:cs="宋体"/>
                <w:kern w:val="0"/>
                <w:szCs w:val="24"/>
                <w:lang w:bidi="ar"/>
              </w:rPr>
              <w:t>本项目总占地面积为5200</w:t>
            </w:r>
            <w:r>
              <w:rPr>
                <w:rFonts w:eastAsia="宋体" w:cs="Times New Roman"/>
                <w:kern w:val="0"/>
                <w:szCs w:val="24"/>
                <w:lang w:bidi="ar"/>
              </w:rPr>
              <w:t>m</w:t>
            </w:r>
            <w:r>
              <w:rPr>
                <w:rFonts w:eastAsia="宋体" w:cs="Times New Roman"/>
                <w:kern w:val="0"/>
                <w:szCs w:val="24"/>
                <w:vertAlign w:val="superscript"/>
                <w:lang w:bidi="ar"/>
              </w:rPr>
              <w:t>2</w:t>
            </w:r>
            <w:r>
              <w:rPr>
                <w:rFonts w:hint="eastAsia" w:ascii="宋体" w:hAnsi="宋体" w:eastAsia="宋体" w:cs="宋体"/>
                <w:kern w:val="0"/>
                <w:szCs w:val="24"/>
                <w:lang w:bidi="ar"/>
              </w:rPr>
              <w:t>、建筑面积：</w:t>
            </w:r>
            <w:r>
              <w:rPr>
                <w:rFonts w:hint="eastAsia" w:eastAsia="宋体" w:cs="Times New Roman"/>
                <w:kern w:val="0"/>
                <w:szCs w:val="24"/>
                <w:lang w:bidi="ar"/>
              </w:rPr>
              <w:t>37100</w:t>
            </w:r>
            <w:r>
              <w:rPr>
                <w:rFonts w:eastAsia="宋体" w:cs="Times New Roman"/>
                <w:kern w:val="0"/>
                <w:szCs w:val="24"/>
                <w:lang w:bidi="ar"/>
              </w:rPr>
              <w:t>m</w:t>
            </w:r>
            <w:r>
              <w:rPr>
                <w:rFonts w:eastAsia="宋体" w:cs="Times New Roman"/>
                <w:kern w:val="0"/>
                <w:szCs w:val="24"/>
                <w:vertAlign w:val="superscript"/>
                <w:lang w:bidi="ar"/>
              </w:rPr>
              <w:t>2</w:t>
            </w:r>
            <w:r>
              <w:rPr>
                <w:rFonts w:hint="eastAsia" w:ascii="宋体" w:hAnsi="宋体" w:eastAsia="宋体" w:cs="宋体"/>
                <w:kern w:val="0"/>
                <w:szCs w:val="24"/>
                <w:lang w:bidi="ar"/>
              </w:rPr>
              <w:t>。</w:t>
            </w:r>
          </w:p>
          <w:p>
            <w:pPr>
              <w:widowControl/>
              <w:ind w:firstLine="480"/>
              <w:jc w:val="left"/>
              <w:rPr>
                <w:rFonts w:ascii="宋体" w:hAnsi="宋体" w:eastAsia="宋体" w:cs="宋体"/>
                <w:kern w:val="0"/>
                <w:szCs w:val="24"/>
                <w:lang w:bidi="ar"/>
              </w:rPr>
            </w:pPr>
            <w:r>
              <w:rPr>
                <w:rFonts w:hint="eastAsia"/>
              </w:rPr>
              <w:t>姚安县龙岗卫生院属于姚安县人民医院下属医院，是一所集医疗、预防、保健、康复、急救、健康教育为一体的精神病专科医院。全院设有门诊室、输液室、</w:t>
            </w:r>
            <w:r>
              <w:rPr>
                <w:rFonts w:hint="eastAsia" w:ascii="宋体" w:hAnsi="宋体" w:eastAsia="宋体" w:cs="宋体"/>
                <w:kern w:val="0"/>
                <w:szCs w:val="24"/>
                <w:lang w:bidi="ar"/>
              </w:rPr>
              <w:t>化验室、预防接种室、中医馆、医生值班室、办公室、护士值班室、住院病房、厨房、餐厅等，设置病床数</w:t>
            </w:r>
            <w:r>
              <w:rPr>
                <w:rFonts w:hint="eastAsia" w:eastAsia="宋体" w:cs="Times New Roman"/>
                <w:kern w:val="0"/>
                <w:szCs w:val="24"/>
                <w:lang w:bidi="ar"/>
              </w:rPr>
              <w:t>72</w:t>
            </w:r>
            <w:r>
              <w:rPr>
                <w:rFonts w:hint="eastAsia" w:ascii="宋体" w:hAnsi="宋体" w:eastAsia="宋体" w:cs="宋体"/>
                <w:kern w:val="0"/>
                <w:szCs w:val="24"/>
                <w:lang w:bidi="ar"/>
              </w:rPr>
              <w:t>张。根据业主提供资料，项目只开设精神科，不设置其他医疗科</w:t>
            </w:r>
            <w:r>
              <w:rPr>
                <w:rFonts w:hint="eastAsia"/>
              </w:rPr>
              <w:t>。</w:t>
            </w:r>
          </w:p>
          <w:p>
            <w:pPr>
              <w:widowControl/>
              <w:ind w:firstLine="480"/>
              <w:jc w:val="left"/>
            </w:pPr>
            <w:r>
              <w:rPr>
                <w:rFonts w:hint="eastAsia" w:ascii="宋体" w:hAnsi="宋体" w:eastAsia="宋体" w:cs="宋体"/>
                <w:kern w:val="0"/>
                <w:szCs w:val="24"/>
                <w:lang w:bidi="ar"/>
              </w:rPr>
              <w:t>根据2021年9月29日姚安县卫生健康局出具的“姚安县龙岗卫生院关于住院床位数的说明”（见附件3）：姚安县龙岗卫生院医疗机构执业许可证核定编制床位数39张，实有住院床位数72张。</w:t>
            </w:r>
          </w:p>
          <w:p>
            <w:pPr>
              <w:widowControl/>
              <w:ind w:firstLine="482"/>
              <w:jc w:val="left"/>
            </w:pPr>
            <w:r>
              <w:rPr>
                <w:rFonts w:hint="eastAsia" w:ascii="宋体" w:hAnsi="宋体" w:eastAsia="宋体" w:cs="宋体"/>
                <w:b/>
                <w:kern w:val="0"/>
                <w:szCs w:val="24"/>
                <w:lang w:bidi="ar"/>
              </w:rPr>
              <w:t>项目总投资：</w:t>
            </w:r>
            <w:r>
              <w:rPr>
                <w:rFonts w:hint="eastAsia" w:eastAsia="宋体" w:cs="Times New Roman"/>
                <w:kern w:val="0"/>
                <w:szCs w:val="24"/>
                <w:lang w:bidi="ar"/>
              </w:rPr>
              <w:t>18</w:t>
            </w:r>
            <w:r>
              <w:rPr>
                <w:rFonts w:eastAsia="宋体" w:cs="Times New Roman"/>
                <w:kern w:val="0"/>
                <w:szCs w:val="24"/>
                <w:lang w:bidi="ar"/>
              </w:rPr>
              <w:t>00</w:t>
            </w:r>
            <w:r>
              <w:rPr>
                <w:rFonts w:hint="eastAsia" w:ascii="宋体" w:hAnsi="宋体" w:eastAsia="宋体" w:cs="宋体"/>
                <w:kern w:val="0"/>
                <w:szCs w:val="24"/>
                <w:lang w:bidi="ar"/>
              </w:rPr>
              <w:t>万元，其中环保投资33.1万元。</w:t>
            </w:r>
          </w:p>
          <w:p>
            <w:pPr>
              <w:pStyle w:val="5"/>
              <w:spacing w:before="326"/>
              <w:ind w:firstLine="482"/>
            </w:pPr>
            <w:r>
              <w:rPr>
                <w:rFonts w:hint="eastAsia"/>
              </w:rPr>
              <w:t>2、建设工程及内容</w:t>
            </w:r>
          </w:p>
          <w:p>
            <w:pPr>
              <w:ind w:firstLine="480"/>
              <w:rPr>
                <w:kern w:val="0"/>
              </w:rPr>
            </w:pPr>
            <w:r>
              <w:rPr>
                <w:rFonts w:hint="eastAsia"/>
              </w:rPr>
              <w:t>本项目主要由门诊楼、住院楼、行政办公楼、预防接种楼等相关公辅设施组成，医护人员在医院吃饭，不在医院住宿，项目不涉及医护人员住宿（项目于2001年建设员工宿舍楼2栋，建筑面积1004m</w:t>
            </w:r>
            <w:r>
              <w:rPr>
                <w:rFonts w:hint="eastAsia"/>
                <w:vertAlign w:val="superscript"/>
              </w:rPr>
              <w:t>2</w:t>
            </w:r>
            <w:r>
              <w:rPr>
                <w:rFonts w:hint="eastAsia"/>
              </w:rPr>
              <w:t>，目前已搬空闲置，本项目不设置员工宿舍）。项目总占地面积5200m</w:t>
            </w:r>
            <w:r>
              <w:rPr>
                <w:rFonts w:hint="eastAsia"/>
                <w:vertAlign w:val="superscript"/>
              </w:rPr>
              <w:t>2</w:t>
            </w:r>
            <w:r>
              <w:rPr>
                <w:rFonts w:hint="eastAsia"/>
              </w:rPr>
              <w:t>，总投资1800万元，设有床位72张。</w:t>
            </w:r>
            <w:r>
              <w:rPr>
                <w:rFonts w:hint="eastAsia"/>
                <w:kern w:val="0"/>
              </w:rPr>
              <w:t>项目主要内容见下表。</w:t>
            </w:r>
          </w:p>
          <w:p>
            <w:pPr>
              <w:pStyle w:val="66"/>
              <w:ind w:firstLine="422"/>
            </w:pPr>
          </w:p>
          <w:p>
            <w:pPr>
              <w:pStyle w:val="66"/>
              <w:ind w:firstLine="422"/>
            </w:pPr>
          </w:p>
          <w:p>
            <w:pPr>
              <w:pStyle w:val="66"/>
              <w:ind w:firstLine="422"/>
            </w:pPr>
          </w:p>
          <w:p>
            <w:pPr>
              <w:pStyle w:val="66"/>
              <w:ind w:firstLine="422"/>
            </w:pPr>
          </w:p>
          <w:p>
            <w:pPr>
              <w:pStyle w:val="66"/>
              <w:ind w:firstLine="422"/>
            </w:pPr>
          </w:p>
          <w:p>
            <w:pPr>
              <w:pStyle w:val="66"/>
              <w:ind w:firstLine="422"/>
            </w:pPr>
            <w:r>
              <w:rPr>
                <w:rFonts w:hint="eastAsia"/>
              </w:rPr>
              <w:t xml:space="preserve">表2-1 </w:t>
            </w:r>
            <w:r>
              <w:t>项目组成一览表</w:t>
            </w:r>
          </w:p>
          <w:tbl>
            <w:tblPr>
              <w:tblStyle w:val="37"/>
              <w:tblW w:w="836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
            <w:tblGrid>
              <w:gridCol w:w="464"/>
              <w:gridCol w:w="889"/>
              <w:gridCol w:w="1747"/>
              <w:gridCol w:w="4604"/>
              <w:gridCol w:w="6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552" w:hRule="atLeast"/>
                <w:jc w:val="center"/>
              </w:trPr>
              <w:tc>
                <w:tcPr>
                  <w:tcW w:w="1353" w:type="dxa"/>
                  <w:gridSpan w:val="2"/>
                  <w:tcBorders>
                    <w:tl2br w:val="nil"/>
                    <w:tr2bl w:val="nil"/>
                  </w:tcBorders>
                  <w:vAlign w:val="center"/>
                </w:tcPr>
                <w:p>
                  <w:pPr>
                    <w:pStyle w:val="146"/>
                  </w:pPr>
                  <w:r>
                    <w:t>工程名称</w:t>
                  </w:r>
                </w:p>
              </w:tc>
              <w:tc>
                <w:tcPr>
                  <w:tcW w:w="6351" w:type="dxa"/>
                  <w:gridSpan w:val="2"/>
                  <w:tcBorders>
                    <w:tl2br w:val="nil"/>
                    <w:tr2bl w:val="nil"/>
                  </w:tcBorders>
                  <w:vAlign w:val="center"/>
                </w:tcPr>
                <w:p>
                  <w:pPr>
                    <w:pStyle w:val="146"/>
                  </w:pPr>
                  <w:r>
                    <w:t>建设内容及规模</w:t>
                  </w:r>
                </w:p>
              </w:tc>
              <w:tc>
                <w:tcPr>
                  <w:tcW w:w="664" w:type="dxa"/>
                  <w:tcBorders>
                    <w:tl2br w:val="nil"/>
                    <w:tr2bl w:val="nil"/>
                  </w:tcBorders>
                  <w:vAlign w:val="center"/>
                </w:tcPr>
                <w:p>
                  <w:pPr>
                    <w:pStyle w:val="146"/>
                  </w:pPr>
                  <w: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552" w:hRule="atLeast"/>
                <w:jc w:val="center"/>
              </w:trPr>
              <w:tc>
                <w:tcPr>
                  <w:tcW w:w="464" w:type="dxa"/>
                  <w:vMerge w:val="restart"/>
                  <w:tcBorders>
                    <w:tl2br w:val="nil"/>
                    <w:tr2bl w:val="nil"/>
                  </w:tcBorders>
                  <w:vAlign w:val="center"/>
                </w:tcPr>
                <w:p>
                  <w:pPr>
                    <w:pStyle w:val="146"/>
                  </w:pPr>
                  <w:r>
                    <w:t>主体工程</w:t>
                  </w:r>
                </w:p>
              </w:tc>
              <w:tc>
                <w:tcPr>
                  <w:tcW w:w="889" w:type="dxa"/>
                  <w:tcBorders>
                    <w:tl2br w:val="nil"/>
                    <w:tr2bl w:val="nil"/>
                  </w:tcBorders>
                  <w:vAlign w:val="center"/>
                </w:tcPr>
                <w:p>
                  <w:pPr>
                    <w:pStyle w:val="146"/>
                  </w:pPr>
                  <w:r>
                    <w:rPr>
                      <w:rFonts w:hint="eastAsia"/>
                    </w:rPr>
                    <w:t>行政</w:t>
                  </w:r>
                  <w:r>
                    <w:t>办公楼</w:t>
                  </w:r>
                </w:p>
              </w:tc>
              <w:tc>
                <w:tcPr>
                  <w:tcW w:w="6351" w:type="dxa"/>
                  <w:gridSpan w:val="2"/>
                  <w:tcBorders>
                    <w:tl2br w:val="nil"/>
                    <w:tr2bl w:val="nil"/>
                  </w:tcBorders>
                  <w:vAlign w:val="center"/>
                </w:tcPr>
                <w:p>
                  <w:pPr>
                    <w:pStyle w:val="52"/>
                    <w:jc w:val="both"/>
                  </w:pPr>
                  <w:r>
                    <w:rPr>
                      <w:rFonts w:hint="eastAsia"/>
                    </w:rPr>
                    <w:t>综合办公楼位于卫生院北侧，为4层砖混结构，占地面积330m</w:t>
                  </w:r>
                  <w:r>
                    <w:rPr>
                      <w:rFonts w:hint="eastAsia"/>
                      <w:vertAlign w:val="superscript"/>
                    </w:rPr>
                    <w:t>2</w:t>
                  </w:r>
                  <w:r>
                    <w:rPr>
                      <w:rFonts w:hint="eastAsia"/>
                    </w:rPr>
                    <w:t>，建筑面积1320m</w:t>
                  </w:r>
                  <w:r>
                    <w:rPr>
                      <w:rFonts w:hint="eastAsia"/>
                      <w:vertAlign w:val="superscript"/>
                    </w:rPr>
                    <w:t>2</w:t>
                  </w:r>
                  <w:r>
                    <w:rPr>
                      <w:rFonts w:hint="eastAsia"/>
                    </w:rPr>
                    <w:t>；</w:t>
                  </w:r>
                </w:p>
                <w:p>
                  <w:pPr>
                    <w:pStyle w:val="52"/>
                    <w:jc w:val="both"/>
                  </w:pPr>
                  <w:r>
                    <w:rPr>
                      <w:rFonts w:hint="eastAsia"/>
                    </w:rPr>
                    <w:t>1楼为收费室、库房等；</w:t>
                  </w:r>
                </w:p>
                <w:p>
                  <w:pPr>
                    <w:pStyle w:val="52"/>
                    <w:jc w:val="both"/>
                  </w:pPr>
                  <w:r>
                    <w:rPr>
                      <w:rFonts w:hint="eastAsia"/>
                    </w:rPr>
                    <w:t>2楼为公共卫生科；</w:t>
                  </w:r>
                </w:p>
                <w:p>
                  <w:pPr>
                    <w:pStyle w:val="52"/>
                    <w:jc w:val="both"/>
                  </w:pPr>
                  <w:r>
                    <w:rPr>
                      <w:rFonts w:hint="eastAsia"/>
                    </w:rPr>
                    <w:t>3楼为院长办公室、办公室；</w:t>
                  </w:r>
                </w:p>
                <w:p>
                  <w:pPr>
                    <w:pStyle w:val="52"/>
                    <w:jc w:val="both"/>
                  </w:pPr>
                  <w:r>
                    <w:rPr>
                      <w:rFonts w:hint="eastAsia"/>
                    </w:rPr>
                    <w:t>4楼为档案室、会议室。</w:t>
                  </w:r>
                </w:p>
              </w:tc>
              <w:tc>
                <w:tcPr>
                  <w:tcW w:w="664" w:type="dxa"/>
                  <w:tcBorders>
                    <w:tl2br w:val="nil"/>
                    <w:tr2bl w:val="nil"/>
                  </w:tcBorders>
                  <w:vAlign w:val="center"/>
                </w:tcPr>
                <w:p>
                  <w:pPr>
                    <w:pStyle w:val="146"/>
                  </w:pPr>
                  <w:r>
                    <w:t>已建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552" w:hRule="atLeast"/>
                <w:jc w:val="center"/>
              </w:trPr>
              <w:tc>
                <w:tcPr>
                  <w:tcW w:w="464" w:type="dxa"/>
                  <w:vMerge w:val="continue"/>
                  <w:tcBorders>
                    <w:tl2br w:val="nil"/>
                    <w:tr2bl w:val="nil"/>
                  </w:tcBorders>
                  <w:vAlign w:val="center"/>
                </w:tcPr>
                <w:p>
                  <w:pPr>
                    <w:pStyle w:val="146"/>
                  </w:pPr>
                </w:p>
              </w:tc>
              <w:tc>
                <w:tcPr>
                  <w:tcW w:w="889" w:type="dxa"/>
                  <w:tcBorders>
                    <w:tl2br w:val="nil"/>
                    <w:tr2bl w:val="nil"/>
                  </w:tcBorders>
                  <w:vAlign w:val="center"/>
                </w:tcPr>
                <w:p>
                  <w:pPr>
                    <w:pStyle w:val="146"/>
                  </w:pPr>
                  <w:r>
                    <w:rPr>
                      <w:rFonts w:hint="eastAsia"/>
                    </w:rPr>
                    <w:t>门诊综合楼</w:t>
                  </w:r>
                </w:p>
              </w:tc>
              <w:tc>
                <w:tcPr>
                  <w:tcW w:w="6351" w:type="dxa"/>
                  <w:gridSpan w:val="2"/>
                  <w:tcBorders>
                    <w:tl2br w:val="nil"/>
                    <w:tr2bl w:val="nil"/>
                  </w:tcBorders>
                  <w:vAlign w:val="center"/>
                </w:tcPr>
                <w:p>
                  <w:pPr>
                    <w:pStyle w:val="52"/>
                    <w:jc w:val="both"/>
                  </w:pPr>
                  <w:r>
                    <w:rPr>
                      <w:rFonts w:hint="eastAsia"/>
                    </w:rPr>
                    <w:t>门诊综合楼位于卫生院东北侧，为3层砖混结构，占地面积230m</w:t>
                  </w:r>
                  <w:r>
                    <w:rPr>
                      <w:rFonts w:hint="eastAsia"/>
                      <w:vertAlign w:val="superscript"/>
                    </w:rPr>
                    <w:t>2</w:t>
                  </w:r>
                  <w:r>
                    <w:rPr>
                      <w:rFonts w:hint="eastAsia"/>
                    </w:rPr>
                    <w:t>，建筑面积690m</w:t>
                  </w:r>
                  <w:r>
                    <w:rPr>
                      <w:rFonts w:hint="eastAsia"/>
                      <w:vertAlign w:val="superscript"/>
                    </w:rPr>
                    <w:t>2</w:t>
                  </w:r>
                  <w:r>
                    <w:rPr>
                      <w:rFonts w:hint="eastAsia"/>
                    </w:rPr>
                    <w:t>；</w:t>
                  </w:r>
                </w:p>
                <w:p>
                  <w:pPr>
                    <w:pStyle w:val="52"/>
                    <w:jc w:val="both"/>
                  </w:pPr>
                  <w:r>
                    <w:rPr>
                      <w:rFonts w:hint="eastAsia"/>
                    </w:rPr>
                    <w:t>1楼为门诊室、收费室、药房、厨房；</w:t>
                  </w:r>
                </w:p>
                <w:p>
                  <w:pPr>
                    <w:pStyle w:val="52"/>
                    <w:jc w:val="both"/>
                  </w:pPr>
                  <w:r>
                    <w:rPr>
                      <w:rFonts w:hint="eastAsia"/>
                    </w:rPr>
                    <w:t>2楼为门诊输液大厅、护士站、输液观察室、医生办公室、护士办公室、储物室、卫生间；</w:t>
                  </w:r>
                </w:p>
                <w:p>
                  <w:pPr>
                    <w:pStyle w:val="52"/>
                    <w:jc w:val="both"/>
                  </w:pPr>
                  <w:r>
                    <w:rPr>
                      <w:rFonts w:hint="eastAsia"/>
                    </w:rPr>
                    <w:t>3楼为门诊输液大厅、护士站、输液观察室、医生办公室、护士办公室、储物室、卫生间等。</w:t>
                  </w:r>
                </w:p>
              </w:tc>
              <w:tc>
                <w:tcPr>
                  <w:tcW w:w="664" w:type="dxa"/>
                  <w:tcBorders>
                    <w:tl2br w:val="nil"/>
                    <w:tr2bl w:val="nil"/>
                  </w:tcBorders>
                  <w:vAlign w:val="center"/>
                </w:tcPr>
                <w:p>
                  <w:pPr>
                    <w:pStyle w:val="146"/>
                  </w:pPr>
                  <w:r>
                    <w:t>已建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552" w:hRule="atLeast"/>
                <w:jc w:val="center"/>
              </w:trPr>
              <w:tc>
                <w:tcPr>
                  <w:tcW w:w="464" w:type="dxa"/>
                  <w:vMerge w:val="continue"/>
                  <w:tcBorders>
                    <w:tl2br w:val="nil"/>
                    <w:tr2bl w:val="nil"/>
                  </w:tcBorders>
                  <w:vAlign w:val="center"/>
                </w:tcPr>
                <w:p>
                  <w:pPr>
                    <w:pStyle w:val="146"/>
                  </w:pPr>
                </w:p>
              </w:tc>
              <w:tc>
                <w:tcPr>
                  <w:tcW w:w="889" w:type="dxa"/>
                  <w:tcBorders>
                    <w:tl2br w:val="nil"/>
                    <w:tr2bl w:val="nil"/>
                  </w:tcBorders>
                  <w:vAlign w:val="center"/>
                </w:tcPr>
                <w:p>
                  <w:pPr>
                    <w:pStyle w:val="146"/>
                  </w:pPr>
                  <w:r>
                    <w:rPr>
                      <w:rFonts w:hint="eastAsia"/>
                    </w:rPr>
                    <w:t>住院楼</w:t>
                  </w:r>
                </w:p>
              </w:tc>
              <w:tc>
                <w:tcPr>
                  <w:tcW w:w="6351" w:type="dxa"/>
                  <w:gridSpan w:val="2"/>
                  <w:tcBorders>
                    <w:tl2br w:val="nil"/>
                    <w:tr2bl w:val="nil"/>
                  </w:tcBorders>
                  <w:vAlign w:val="center"/>
                </w:tcPr>
                <w:p>
                  <w:pPr>
                    <w:pStyle w:val="52"/>
                    <w:jc w:val="both"/>
                  </w:pPr>
                  <w:r>
                    <w:rPr>
                      <w:rFonts w:hint="eastAsia"/>
                    </w:rPr>
                    <w:t>1#住院楼位于卫生院西北侧，为2层砖混结构，占地面积320m</w:t>
                  </w:r>
                  <w:r>
                    <w:rPr>
                      <w:rFonts w:hint="eastAsia"/>
                      <w:vertAlign w:val="superscript"/>
                    </w:rPr>
                    <w:t>2</w:t>
                  </w:r>
                  <w:r>
                    <w:rPr>
                      <w:rFonts w:hint="eastAsia"/>
                    </w:rPr>
                    <w:t>，建筑面积640m</w:t>
                  </w:r>
                  <w:r>
                    <w:rPr>
                      <w:rFonts w:hint="eastAsia"/>
                      <w:vertAlign w:val="superscript"/>
                    </w:rPr>
                    <w:t>2</w:t>
                  </w:r>
                  <w:r>
                    <w:rPr>
                      <w:rFonts w:hint="eastAsia"/>
                    </w:rPr>
                    <w:t>，设置住院病床42张；</w:t>
                  </w:r>
                </w:p>
                <w:p>
                  <w:pPr>
                    <w:pStyle w:val="52"/>
                    <w:jc w:val="both"/>
                  </w:pPr>
                  <w:r>
                    <w:rPr>
                      <w:rFonts w:hint="eastAsia"/>
                    </w:rPr>
                    <w:t>2#住院楼位于卫生院西南侧，为2层砖混结构，占地面积50m</w:t>
                  </w:r>
                  <w:r>
                    <w:rPr>
                      <w:rFonts w:hint="eastAsia"/>
                      <w:vertAlign w:val="superscript"/>
                    </w:rPr>
                    <w:t>2</w:t>
                  </w:r>
                  <w:r>
                    <w:rPr>
                      <w:rFonts w:hint="eastAsia"/>
                    </w:rPr>
                    <w:t>，建筑面积100m</w:t>
                  </w:r>
                  <w:r>
                    <w:rPr>
                      <w:rFonts w:hint="eastAsia"/>
                      <w:vertAlign w:val="superscript"/>
                    </w:rPr>
                    <w:t>2</w:t>
                  </w:r>
                  <w:r>
                    <w:rPr>
                      <w:rFonts w:hint="eastAsia"/>
                    </w:rPr>
                    <w:t>，设置住院病床6张；</w:t>
                  </w:r>
                </w:p>
                <w:p>
                  <w:pPr>
                    <w:pStyle w:val="52"/>
                    <w:jc w:val="both"/>
                  </w:pPr>
                  <w:r>
                    <w:rPr>
                      <w:rFonts w:hint="eastAsia"/>
                    </w:rPr>
                    <w:t>3#住院楼位于卫2#住院楼东侧，为3层砖混结构，占地面积120m</w:t>
                  </w:r>
                  <w:r>
                    <w:rPr>
                      <w:rFonts w:hint="eastAsia"/>
                      <w:vertAlign w:val="superscript"/>
                    </w:rPr>
                    <w:t>2</w:t>
                  </w:r>
                  <w:r>
                    <w:rPr>
                      <w:rFonts w:hint="eastAsia"/>
                    </w:rPr>
                    <w:t>，建筑面积360m</w:t>
                  </w:r>
                  <w:r>
                    <w:rPr>
                      <w:rFonts w:hint="eastAsia"/>
                      <w:vertAlign w:val="superscript"/>
                    </w:rPr>
                    <w:t>2</w:t>
                  </w:r>
                  <w:r>
                    <w:rPr>
                      <w:rFonts w:hint="eastAsia"/>
                    </w:rPr>
                    <w:t>，设置住院病床24张；</w:t>
                  </w:r>
                </w:p>
              </w:tc>
              <w:tc>
                <w:tcPr>
                  <w:tcW w:w="664" w:type="dxa"/>
                  <w:tcBorders>
                    <w:tl2br w:val="nil"/>
                    <w:tr2bl w:val="nil"/>
                  </w:tcBorders>
                  <w:vAlign w:val="center"/>
                </w:tcPr>
                <w:p>
                  <w:pPr>
                    <w:pStyle w:val="146"/>
                  </w:pPr>
                  <w:r>
                    <w:rPr>
                      <w:rFonts w:hint="eastAsia"/>
                    </w:rPr>
                    <w:t>已建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552" w:hRule="atLeast"/>
                <w:jc w:val="center"/>
              </w:trPr>
              <w:tc>
                <w:tcPr>
                  <w:tcW w:w="464" w:type="dxa"/>
                  <w:vMerge w:val="continue"/>
                  <w:tcBorders>
                    <w:tl2br w:val="nil"/>
                    <w:tr2bl w:val="nil"/>
                  </w:tcBorders>
                  <w:vAlign w:val="center"/>
                </w:tcPr>
                <w:p>
                  <w:pPr>
                    <w:pStyle w:val="146"/>
                  </w:pPr>
                </w:p>
              </w:tc>
              <w:tc>
                <w:tcPr>
                  <w:tcW w:w="889" w:type="dxa"/>
                  <w:tcBorders>
                    <w:tl2br w:val="nil"/>
                    <w:tr2bl w:val="nil"/>
                  </w:tcBorders>
                  <w:vAlign w:val="center"/>
                </w:tcPr>
                <w:p>
                  <w:pPr>
                    <w:pStyle w:val="146"/>
                  </w:pPr>
                  <w:r>
                    <w:rPr>
                      <w:rFonts w:hint="eastAsia"/>
                    </w:rPr>
                    <w:t>预防接种楼</w:t>
                  </w:r>
                </w:p>
              </w:tc>
              <w:tc>
                <w:tcPr>
                  <w:tcW w:w="6351" w:type="dxa"/>
                  <w:gridSpan w:val="2"/>
                  <w:tcBorders>
                    <w:tl2br w:val="nil"/>
                    <w:tr2bl w:val="nil"/>
                  </w:tcBorders>
                  <w:vAlign w:val="center"/>
                </w:tcPr>
                <w:p>
                  <w:pPr>
                    <w:pStyle w:val="52"/>
                    <w:jc w:val="both"/>
                  </w:pPr>
                  <w:r>
                    <w:rPr>
                      <w:rFonts w:hint="eastAsia"/>
                    </w:rPr>
                    <w:t>预防接种楼位于卫生院西侧，公路对面，为卫生院原住宿区，占地面积1800m</w:t>
                  </w:r>
                  <w:r>
                    <w:rPr>
                      <w:rFonts w:hint="eastAsia"/>
                      <w:vertAlign w:val="superscript"/>
                    </w:rPr>
                    <w:t>2</w:t>
                  </w:r>
                  <w:r>
                    <w:rPr>
                      <w:rFonts w:hint="eastAsia"/>
                    </w:rPr>
                    <w:t>，建筑面积600m</w:t>
                  </w:r>
                  <w:r>
                    <w:rPr>
                      <w:rFonts w:hint="eastAsia"/>
                      <w:vertAlign w:val="superscript"/>
                    </w:rPr>
                    <w:t>2</w:t>
                  </w:r>
                  <w:r>
                    <w:rPr>
                      <w:rFonts w:hint="eastAsia"/>
                    </w:rPr>
                    <w:t>。</w:t>
                  </w:r>
                </w:p>
                <w:p>
                  <w:pPr>
                    <w:pStyle w:val="52"/>
                    <w:jc w:val="both"/>
                  </w:pPr>
                  <w:r>
                    <w:rPr>
                      <w:rFonts w:hint="eastAsia"/>
                    </w:rPr>
                    <w:t>1楼为收费室、库房等；</w:t>
                  </w:r>
                </w:p>
                <w:p>
                  <w:pPr>
                    <w:pStyle w:val="52"/>
                    <w:jc w:val="both"/>
                  </w:pPr>
                  <w:r>
                    <w:rPr>
                      <w:rFonts w:hint="eastAsia"/>
                    </w:rPr>
                    <w:t>2楼为中医馆（彝医馆）；</w:t>
                  </w:r>
                </w:p>
                <w:p>
                  <w:pPr>
                    <w:pStyle w:val="52"/>
                    <w:jc w:val="both"/>
                  </w:pPr>
                  <w:r>
                    <w:rPr>
                      <w:rFonts w:hint="eastAsia"/>
                    </w:rPr>
                    <w:t>3楼为库房、办公室；</w:t>
                  </w:r>
                </w:p>
                <w:p>
                  <w:pPr>
                    <w:pStyle w:val="52"/>
                    <w:jc w:val="both"/>
                  </w:pPr>
                  <w:r>
                    <w:rPr>
                      <w:rFonts w:hint="eastAsia"/>
                    </w:rPr>
                    <w:t>4楼为库房。</w:t>
                  </w:r>
                </w:p>
              </w:tc>
              <w:tc>
                <w:tcPr>
                  <w:tcW w:w="664" w:type="dxa"/>
                  <w:tcBorders>
                    <w:tl2br w:val="nil"/>
                    <w:tr2bl w:val="nil"/>
                  </w:tcBorders>
                  <w:vAlign w:val="center"/>
                </w:tcPr>
                <w:p>
                  <w:pPr>
                    <w:pStyle w:val="146"/>
                  </w:pPr>
                  <w:r>
                    <w:rPr>
                      <w:rFonts w:hint="eastAsia"/>
                    </w:rPr>
                    <w:t>已建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552" w:hRule="atLeast"/>
                <w:jc w:val="center"/>
              </w:trPr>
              <w:tc>
                <w:tcPr>
                  <w:tcW w:w="464" w:type="dxa"/>
                  <w:vMerge w:val="continue"/>
                  <w:tcBorders>
                    <w:tl2br w:val="nil"/>
                    <w:tr2bl w:val="nil"/>
                  </w:tcBorders>
                  <w:vAlign w:val="center"/>
                </w:tcPr>
                <w:p>
                  <w:pPr>
                    <w:pStyle w:val="146"/>
                  </w:pPr>
                </w:p>
              </w:tc>
              <w:tc>
                <w:tcPr>
                  <w:tcW w:w="889" w:type="dxa"/>
                  <w:tcBorders>
                    <w:tl2br w:val="nil"/>
                    <w:tr2bl w:val="nil"/>
                  </w:tcBorders>
                  <w:vAlign w:val="center"/>
                </w:tcPr>
                <w:p>
                  <w:pPr>
                    <w:pStyle w:val="146"/>
                  </w:pPr>
                  <w:r>
                    <w:rPr>
                      <w:rFonts w:hint="eastAsia"/>
                    </w:rPr>
                    <w:t>闲置地块</w:t>
                  </w:r>
                </w:p>
              </w:tc>
              <w:tc>
                <w:tcPr>
                  <w:tcW w:w="6351" w:type="dxa"/>
                  <w:gridSpan w:val="2"/>
                  <w:tcBorders>
                    <w:tl2br w:val="nil"/>
                    <w:tr2bl w:val="nil"/>
                  </w:tcBorders>
                  <w:vAlign w:val="center"/>
                </w:tcPr>
                <w:p>
                  <w:pPr>
                    <w:pStyle w:val="52"/>
                    <w:jc w:val="both"/>
                  </w:pPr>
                  <w:r>
                    <w:rPr>
                      <w:rFonts w:hint="eastAsia"/>
                    </w:rPr>
                    <w:t>闲置地块位于卫生院西侧，公路对面，为卫生院原住宿区，目前已搬空闲置未使用，占地面积1800m</w:t>
                  </w:r>
                  <w:r>
                    <w:rPr>
                      <w:rFonts w:hint="eastAsia"/>
                      <w:vertAlign w:val="superscript"/>
                    </w:rPr>
                    <w:t>2</w:t>
                  </w:r>
                  <w:r>
                    <w:rPr>
                      <w:rFonts w:hint="eastAsia"/>
                    </w:rPr>
                    <w:t>，建筑面积1004m</w:t>
                  </w:r>
                  <w:r>
                    <w:rPr>
                      <w:rFonts w:hint="eastAsia"/>
                      <w:vertAlign w:val="superscript"/>
                    </w:rPr>
                    <w:t>2</w:t>
                  </w:r>
                  <w:r>
                    <w:rPr>
                      <w:rFonts w:hint="eastAsia"/>
                    </w:rPr>
                    <w:t>。</w:t>
                  </w:r>
                </w:p>
                <w:p>
                  <w:pPr>
                    <w:pStyle w:val="52"/>
                    <w:jc w:val="both"/>
                  </w:pPr>
                  <w:r>
                    <w:rPr>
                      <w:rFonts w:hint="eastAsia"/>
                    </w:rPr>
                    <w:t>1栋3F，占地面积80m</w:t>
                  </w:r>
                  <w:r>
                    <w:rPr>
                      <w:rFonts w:hint="eastAsia"/>
                      <w:vertAlign w:val="superscript"/>
                    </w:rPr>
                    <w:t>2</w:t>
                  </w:r>
                  <w:r>
                    <w:rPr>
                      <w:rFonts w:hint="eastAsia"/>
                    </w:rPr>
                    <w:t>，建筑面积210m</w:t>
                  </w:r>
                  <w:r>
                    <w:rPr>
                      <w:rFonts w:hint="eastAsia"/>
                      <w:vertAlign w:val="superscript"/>
                    </w:rPr>
                    <w:t>2</w:t>
                  </w:r>
                  <w:r>
                    <w:rPr>
                      <w:rFonts w:hint="eastAsia"/>
                    </w:rPr>
                    <w:t>；</w:t>
                  </w:r>
                </w:p>
                <w:p>
                  <w:pPr>
                    <w:pStyle w:val="52"/>
                    <w:jc w:val="both"/>
                  </w:pPr>
                  <w:r>
                    <w:rPr>
                      <w:rFonts w:hint="eastAsia"/>
                    </w:rPr>
                    <w:t>1栋5F，占地面积160m</w:t>
                  </w:r>
                  <w:r>
                    <w:rPr>
                      <w:rFonts w:hint="eastAsia"/>
                      <w:vertAlign w:val="superscript"/>
                    </w:rPr>
                    <w:t>2</w:t>
                  </w:r>
                  <w:r>
                    <w:rPr>
                      <w:rFonts w:hint="eastAsia"/>
                    </w:rPr>
                    <w:t>，建筑面积794m</w:t>
                  </w:r>
                  <w:r>
                    <w:rPr>
                      <w:rFonts w:hint="eastAsia"/>
                      <w:vertAlign w:val="superscript"/>
                    </w:rPr>
                    <w:t>2</w:t>
                  </w:r>
                  <w:r>
                    <w:rPr>
                      <w:rFonts w:hint="eastAsia"/>
                    </w:rPr>
                    <w:t>。</w:t>
                  </w:r>
                </w:p>
              </w:tc>
              <w:tc>
                <w:tcPr>
                  <w:tcW w:w="664" w:type="dxa"/>
                  <w:tcBorders>
                    <w:tl2br w:val="nil"/>
                    <w:tr2bl w:val="nil"/>
                  </w:tcBorders>
                  <w:vAlign w:val="center"/>
                </w:tcPr>
                <w:p>
                  <w:pPr>
                    <w:pStyle w:val="146"/>
                  </w:pPr>
                  <w:r>
                    <w:rPr>
                      <w:rFonts w:hint="eastAsia"/>
                    </w:rPr>
                    <w:t>已建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740" w:hRule="atLeast"/>
                <w:jc w:val="center"/>
              </w:trPr>
              <w:tc>
                <w:tcPr>
                  <w:tcW w:w="464" w:type="dxa"/>
                  <w:vMerge w:val="restart"/>
                  <w:tcBorders>
                    <w:tl2br w:val="nil"/>
                    <w:tr2bl w:val="nil"/>
                  </w:tcBorders>
                  <w:vAlign w:val="center"/>
                </w:tcPr>
                <w:p>
                  <w:pPr>
                    <w:pStyle w:val="146"/>
                  </w:pPr>
                  <w:r>
                    <w:t>辅助工程</w:t>
                  </w:r>
                </w:p>
              </w:tc>
              <w:tc>
                <w:tcPr>
                  <w:tcW w:w="889" w:type="dxa"/>
                  <w:tcBorders>
                    <w:tl2br w:val="nil"/>
                    <w:tr2bl w:val="nil"/>
                  </w:tcBorders>
                  <w:vAlign w:val="center"/>
                </w:tcPr>
                <w:p>
                  <w:pPr>
                    <w:pStyle w:val="146"/>
                  </w:pPr>
                  <w:r>
                    <w:rPr>
                      <w:rFonts w:hint="eastAsia"/>
                    </w:rPr>
                    <w:t>食堂</w:t>
                  </w:r>
                </w:p>
              </w:tc>
              <w:tc>
                <w:tcPr>
                  <w:tcW w:w="6351" w:type="dxa"/>
                  <w:gridSpan w:val="2"/>
                  <w:tcBorders>
                    <w:tl2br w:val="nil"/>
                    <w:tr2bl w:val="nil"/>
                  </w:tcBorders>
                  <w:vAlign w:val="center"/>
                </w:tcPr>
                <w:p>
                  <w:pPr>
                    <w:pStyle w:val="146"/>
                    <w:jc w:val="both"/>
                  </w:pPr>
                  <w:r>
                    <w:rPr>
                      <w:rFonts w:hint="eastAsia"/>
                    </w:rPr>
                    <w:t>位于门诊综合楼1楼，为卫生院职工和住院人员提供三餐。</w:t>
                  </w:r>
                </w:p>
              </w:tc>
              <w:tc>
                <w:tcPr>
                  <w:tcW w:w="664" w:type="dxa"/>
                  <w:vMerge w:val="restart"/>
                  <w:tcBorders>
                    <w:tl2br w:val="nil"/>
                    <w:tr2bl w:val="nil"/>
                  </w:tcBorders>
                  <w:vAlign w:val="center"/>
                </w:tcPr>
                <w:p>
                  <w:pPr>
                    <w:pStyle w:val="146"/>
                  </w:pPr>
                  <w:r>
                    <w:t>已建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621" w:hRule="atLeast"/>
                <w:jc w:val="center"/>
              </w:trPr>
              <w:tc>
                <w:tcPr>
                  <w:tcW w:w="464" w:type="dxa"/>
                  <w:vMerge w:val="continue"/>
                  <w:tcBorders>
                    <w:tl2br w:val="nil"/>
                    <w:tr2bl w:val="nil"/>
                  </w:tcBorders>
                  <w:vAlign w:val="center"/>
                </w:tcPr>
                <w:p>
                  <w:pPr>
                    <w:pStyle w:val="146"/>
                  </w:pPr>
                </w:p>
              </w:tc>
              <w:tc>
                <w:tcPr>
                  <w:tcW w:w="889" w:type="dxa"/>
                  <w:tcBorders>
                    <w:tl2br w:val="nil"/>
                    <w:tr2bl w:val="nil"/>
                  </w:tcBorders>
                  <w:vAlign w:val="center"/>
                </w:tcPr>
                <w:p>
                  <w:pPr>
                    <w:pStyle w:val="146"/>
                  </w:pPr>
                  <w:r>
                    <w:rPr>
                      <w:rFonts w:hint="eastAsia"/>
                    </w:rPr>
                    <w:t>备用发电机房</w:t>
                  </w:r>
                </w:p>
              </w:tc>
              <w:tc>
                <w:tcPr>
                  <w:tcW w:w="6351" w:type="dxa"/>
                  <w:gridSpan w:val="2"/>
                  <w:tcBorders>
                    <w:tl2br w:val="nil"/>
                    <w:tr2bl w:val="nil"/>
                  </w:tcBorders>
                  <w:vAlign w:val="center"/>
                </w:tcPr>
                <w:p>
                  <w:pPr>
                    <w:pStyle w:val="146"/>
                    <w:jc w:val="both"/>
                  </w:pPr>
                  <w:r>
                    <w:rPr>
                      <w:rFonts w:hint="eastAsia"/>
                    </w:rPr>
                    <w:t>位于行政办公楼1楼，为医院停电时备用。</w:t>
                  </w:r>
                </w:p>
              </w:tc>
              <w:tc>
                <w:tcPr>
                  <w:tcW w:w="664" w:type="dxa"/>
                  <w:vMerge w:val="continue"/>
                  <w:tcBorders>
                    <w:tl2br w:val="nil"/>
                    <w:tr2bl w:val="nil"/>
                  </w:tcBorders>
                  <w:vAlign w:val="center"/>
                </w:tcPr>
                <w:p>
                  <w:pPr>
                    <w:pStyle w:val="146"/>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281" w:hRule="atLeast"/>
                <w:jc w:val="center"/>
              </w:trPr>
              <w:tc>
                <w:tcPr>
                  <w:tcW w:w="464" w:type="dxa"/>
                  <w:vMerge w:val="restart"/>
                  <w:tcBorders>
                    <w:tl2br w:val="nil"/>
                    <w:tr2bl w:val="nil"/>
                  </w:tcBorders>
                  <w:vAlign w:val="center"/>
                </w:tcPr>
                <w:p>
                  <w:pPr>
                    <w:pStyle w:val="146"/>
                  </w:pPr>
                  <w:r>
                    <w:t>公用工程</w:t>
                  </w:r>
                </w:p>
              </w:tc>
              <w:tc>
                <w:tcPr>
                  <w:tcW w:w="889" w:type="dxa"/>
                  <w:tcBorders>
                    <w:tl2br w:val="nil"/>
                    <w:tr2bl w:val="nil"/>
                  </w:tcBorders>
                  <w:vAlign w:val="center"/>
                </w:tcPr>
                <w:p>
                  <w:pPr>
                    <w:pStyle w:val="146"/>
                  </w:pPr>
                  <w:r>
                    <w:t>给水</w:t>
                  </w:r>
                </w:p>
              </w:tc>
              <w:tc>
                <w:tcPr>
                  <w:tcW w:w="6351" w:type="dxa"/>
                  <w:gridSpan w:val="2"/>
                  <w:tcBorders>
                    <w:tl2br w:val="nil"/>
                    <w:tr2bl w:val="nil"/>
                  </w:tcBorders>
                  <w:vAlign w:val="center"/>
                </w:tcPr>
                <w:p>
                  <w:pPr>
                    <w:pStyle w:val="146"/>
                    <w:jc w:val="both"/>
                  </w:pPr>
                  <w:r>
                    <w:t>由</w:t>
                  </w:r>
                  <w:r>
                    <w:rPr>
                      <w:rFonts w:hint="eastAsia"/>
                    </w:rPr>
                    <w:t>下新屯村委会</w:t>
                  </w:r>
                  <w:r>
                    <w:t>自来水管网供给</w:t>
                  </w:r>
                  <w:r>
                    <w:rPr>
                      <w:rFonts w:hint="eastAsia"/>
                    </w:rPr>
                    <w:t>，能满足要求。</w:t>
                  </w:r>
                </w:p>
              </w:tc>
              <w:tc>
                <w:tcPr>
                  <w:tcW w:w="664" w:type="dxa"/>
                  <w:vMerge w:val="restart"/>
                  <w:tcBorders>
                    <w:tl2br w:val="nil"/>
                    <w:tr2bl w:val="nil"/>
                  </w:tcBorders>
                  <w:vAlign w:val="center"/>
                </w:tcPr>
                <w:p>
                  <w:pPr>
                    <w:pStyle w:val="146"/>
                  </w:pPr>
                  <w:r>
                    <w:rPr>
                      <w:rFonts w:hint="eastAsia"/>
                    </w:rPr>
                    <w:t>已建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388" w:hRule="atLeast"/>
                <w:jc w:val="center"/>
              </w:trPr>
              <w:tc>
                <w:tcPr>
                  <w:tcW w:w="464" w:type="dxa"/>
                  <w:vMerge w:val="continue"/>
                  <w:tcBorders>
                    <w:tl2br w:val="nil"/>
                    <w:tr2bl w:val="nil"/>
                  </w:tcBorders>
                  <w:vAlign w:val="center"/>
                </w:tcPr>
                <w:p>
                  <w:pPr>
                    <w:pStyle w:val="146"/>
                  </w:pPr>
                </w:p>
              </w:tc>
              <w:tc>
                <w:tcPr>
                  <w:tcW w:w="889" w:type="dxa"/>
                  <w:tcBorders>
                    <w:tl2br w:val="nil"/>
                    <w:tr2bl w:val="nil"/>
                  </w:tcBorders>
                  <w:vAlign w:val="center"/>
                </w:tcPr>
                <w:p>
                  <w:pPr>
                    <w:pStyle w:val="146"/>
                  </w:pPr>
                  <w:r>
                    <w:t>排水</w:t>
                  </w:r>
                </w:p>
              </w:tc>
              <w:tc>
                <w:tcPr>
                  <w:tcW w:w="6351" w:type="dxa"/>
                  <w:gridSpan w:val="2"/>
                  <w:tcBorders>
                    <w:tl2br w:val="nil"/>
                    <w:tr2bl w:val="nil"/>
                  </w:tcBorders>
                  <w:vAlign w:val="center"/>
                </w:tcPr>
                <w:p>
                  <w:pPr>
                    <w:pStyle w:val="146"/>
                    <w:jc w:val="both"/>
                  </w:pPr>
                  <w:r>
                    <w:rPr>
                      <w:color w:val="FF0000"/>
                    </w:rPr>
                    <w:t>项目实行雨污分流制，</w:t>
                  </w:r>
                  <w:r>
                    <w:rPr>
                      <w:rFonts w:hint="eastAsia"/>
                      <w:color w:val="FF0000"/>
                    </w:rPr>
                    <w:t>雨水通过院内雨水沟排入院外道路排水沟。在姚安县城镇污水管网建到下新屯村委会前，项目食堂产生含油废水经隔油池隔油处理后汇入下水道并拢其他生活废水，与医疗废水一并</w:t>
                  </w:r>
                  <w:r>
                    <w:rPr>
                      <w:color w:val="FF0000"/>
                    </w:rPr>
                    <w:t>排入</w:t>
                  </w:r>
                  <w:r>
                    <w:rPr>
                      <w:rFonts w:hint="eastAsia"/>
                      <w:color w:val="FF0000"/>
                    </w:rPr>
                    <w:t>化粪池进行预处理</w:t>
                  </w:r>
                  <w:r>
                    <w:rPr>
                      <w:color w:val="FF0000"/>
                    </w:rPr>
                    <w:t>，</w:t>
                  </w:r>
                  <w:r>
                    <w:rPr>
                      <w:rFonts w:hint="eastAsia"/>
                      <w:color w:val="FF0000"/>
                    </w:rPr>
                    <w:t>再</w:t>
                  </w:r>
                  <w:r>
                    <w:rPr>
                      <w:color w:val="FF0000"/>
                    </w:rPr>
                    <w:t>排入</w:t>
                  </w:r>
                  <w:r>
                    <w:rPr>
                      <w:rFonts w:hint="eastAsia"/>
                      <w:color w:val="FF0000"/>
                    </w:rPr>
                    <w:t>项目自建的一体化污水处理站处理达《医疗机构水污染物排放标准》GB18466-2005表2中排放标准后，排入项目东侧农灌沟，最终进入蜻蛉河；在姚安县城镇污水管网建到下新屯村委会后，项目食堂产生含油废水经隔油池隔油处理后汇入下水道并拢其他生活废水，与医疗废水一并</w:t>
                  </w:r>
                  <w:r>
                    <w:rPr>
                      <w:color w:val="FF0000"/>
                    </w:rPr>
                    <w:t>排入</w:t>
                  </w:r>
                  <w:r>
                    <w:rPr>
                      <w:rFonts w:hint="eastAsia"/>
                      <w:color w:val="FF0000"/>
                    </w:rPr>
                    <w:t>化粪池进行预处理</w:t>
                  </w:r>
                  <w:r>
                    <w:rPr>
                      <w:color w:val="FF0000"/>
                    </w:rPr>
                    <w:t>，</w:t>
                  </w:r>
                  <w:r>
                    <w:rPr>
                      <w:rFonts w:hint="eastAsia"/>
                      <w:color w:val="FF0000"/>
                    </w:rPr>
                    <w:t>再</w:t>
                  </w:r>
                  <w:r>
                    <w:rPr>
                      <w:color w:val="FF0000"/>
                    </w:rPr>
                    <w:t>排入</w:t>
                  </w:r>
                  <w:r>
                    <w:rPr>
                      <w:rFonts w:hint="eastAsia"/>
                      <w:color w:val="FF0000"/>
                    </w:rPr>
                    <w:t>项目自建的一体化污水处理站处理达《医疗机构水污染物排放标准》GB18466-2005表2中预处理标准和《污水排入城镇下水道水质标准》（</w:t>
                  </w:r>
                  <w:r>
                    <w:rPr>
                      <w:color w:val="FF0000"/>
                    </w:rPr>
                    <w:t>GB/T31962-2015</w:t>
                  </w:r>
                  <w:r>
                    <w:rPr>
                      <w:rFonts w:hint="eastAsia"/>
                      <w:color w:val="FF0000"/>
                    </w:rPr>
                    <w:t>）表</w:t>
                  </w:r>
                  <w:r>
                    <w:rPr>
                      <w:color w:val="FF0000"/>
                    </w:rPr>
                    <w:t>1</w:t>
                  </w:r>
                  <w:r>
                    <w:rPr>
                      <w:rFonts w:hint="eastAsia"/>
                      <w:color w:val="FF0000"/>
                    </w:rPr>
                    <w:t>（</w:t>
                  </w:r>
                  <w:r>
                    <w:rPr>
                      <w:color w:val="FF0000"/>
                    </w:rPr>
                    <w:t xml:space="preserve">A </w:t>
                  </w:r>
                  <w:r>
                    <w:rPr>
                      <w:rFonts w:hint="eastAsia"/>
                      <w:color w:val="FF0000"/>
                    </w:rPr>
                    <w:t>等级）标准后，排入姚安县污水管网，最终进入姚安县污水处理厂统一处理。</w:t>
                  </w:r>
                </w:p>
              </w:tc>
              <w:tc>
                <w:tcPr>
                  <w:tcW w:w="664" w:type="dxa"/>
                  <w:vMerge w:val="continue"/>
                  <w:tcBorders>
                    <w:tl2br w:val="nil"/>
                    <w:tr2bl w:val="nil"/>
                  </w:tcBorders>
                  <w:vAlign w:val="center"/>
                </w:tcPr>
                <w:p>
                  <w:pPr>
                    <w:pStyle w:val="146"/>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281" w:hRule="atLeast"/>
                <w:jc w:val="center"/>
              </w:trPr>
              <w:tc>
                <w:tcPr>
                  <w:tcW w:w="464" w:type="dxa"/>
                  <w:vMerge w:val="continue"/>
                  <w:tcBorders>
                    <w:tl2br w:val="nil"/>
                    <w:tr2bl w:val="nil"/>
                  </w:tcBorders>
                  <w:vAlign w:val="center"/>
                </w:tcPr>
                <w:p>
                  <w:pPr>
                    <w:pStyle w:val="146"/>
                  </w:pPr>
                </w:p>
              </w:tc>
              <w:tc>
                <w:tcPr>
                  <w:tcW w:w="889" w:type="dxa"/>
                  <w:tcBorders>
                    <w:tl2br w:val="nil"/>
                    <w:tr2bl w:val="nil"/>
                  </w:tcBorders>
                  <w:vAlign w:val="center"/>
                </w:tcPr>
                <w:p>
                  <w:pPr>
                    <w:pStyle w:val="146"/>
                  </w:pPr>
                  <w:r>
                    <w:t>供电</w:t>
                  </w:r>
                </w:p>
              </w:tc>
              <w:tc>
                <w:tcPr>
                  <w:tcW w:w="6351" w:type="dxa"/>
                  <w:gridSpan w:val="2"/>
                  <w:tcBorders>
                    <w:tl2br w:val="nil"/>
                    <w:tr2bl w:val="nil"/>
                  </w:tcBorders>
                  <w:vAlign w:val="center"/>
                </w:tcPr>
                <w:p>
                  <w:pPr>
                    <w:pStyle w:val="146"/>
                  </w:pPr>
                  <w:r>
                    <w:t>由</w:t>
                  </w:r>
                  <w:r>
                    <w:rPr>
                      <w:rFonts w:hint="eastAsia"/>
                    </w:rPr>
                    <w:t>当地</w:t>
                  </w:r>
                  <w:r>
                    <w:t>电网供给</w:t>
                  </w:r>
                </w:p>
              </w:tc>
              <w:tc>
                <w:tcPr>
                  <w:tcW w:w="664" w:type="dxa"/>
                  <w:vMerge w:val="continue"/>
                  <w:tcBorders>
                    <w:tl2br w:val="nil"/>
                    <w:tr2bl w:val="nil"/>
                  </w:tcBorders>
                  <w:vAlign w:val="center"/>
                </w:tcPr>
                <w:p>
                  <w:pPr>
                    <w:pStyle w:val="146"/>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552" w:hRule="atLeast"/>
                <w:jc w:val="center"/>
              </w:trPr>
              <w:tc>
                <w:tcPr>
                  <w:tcW w:w="464" w:type="dxa"/>
                  <w:vMerge w:val="restart"/>
                  <w:tcBorders>
                    <w:tl2br w:val="nil"/>
                    <w:tr2bl w:val="nil"/>
                  </w:tcBorders>
                  <w:vAlign w:val="center"/>
                </w:tcPr>
                <w:p>
                  <w:pPr>
                    <w:pStyle w:val="146"/>
                  </w:pPr>
                  <w:r>
                    <w:t>环保工程</w:t>
                  </w:r>
                </w:p>
              </w:tc>
              <w:tc>
                <w:tcPr>
                  <w:tcW w:w="889" w:type="dxa"/>
                  <w:vMerge w:val="restart"/>
                  <w:tcBorders>
                    <w:tl2br w:val="nil"/>
                    <w:tr2bl w:val="nil"/>
                  </w:tcBorders>
                  <w:vAlign w:val="center"/>
                </w:tcPr>
                <w:p>
                  <w:pPr>
                    <w:pStyle w:val="146"/>
                  </w:pPr>
                  <w:r>
                    <w:t>固废</w:t>
                  </w:r>
                </w:p>
              </w:tc>
              <w:tc>
                <w:tcPr>
                  <w:tcW w:w="1747" w:type="dxa"/>
                  <w:tcBorders>
                    <w:tl2br w:val="nil"/>
                    <w:tr2bl w:val="nil"/>
                  </w:tcBorders>
                  <w:vAlign w:val="center"/>
                </w:tcPr>
                <w:p>
                  <w:pPr>
                    <w:pStyle w:val="146"/>
                    <w:jc w:val="both"/>
                  </w:pPr>
                  <w:r>
                    <w:t>医疗固废暂存间</w:t>
                  </w:r>
                </w:p>
              </w:tc>
              <w:tc>
                <w:tcPr>
                  <w:tcW w:w="4604" w:type="dxa"/>
                  <w:tcBorders>
                    <w:tl2br w:val="nil"/>
                    <w:tr2bl w:val="nil"/>
                  </w:tcBorders>
                  <w:vAlign w:val="center"/>
                </w:tcPr>
                <w:p>
                  <w:pPr>
                    <w:pStyle w:val="146"/>
                    <w:jc w:val="both"/>
                  </w:pPr>
                  <w:r>
                    <w:rPr>
                      <w:rFonts w:hint="eastAsia"/>
                    </w:rPr>
                    <w:t>医疗固废暂存间位于卫生院南面住院楼侧面，1</w:t>
                  </w:r>
                  <w:r>
                    <w:t>间</w:t>
                  </w:r>
                  <w:r>
                    <w:rPr>
                      <w:rFonts w:hint="eastAsia"/>
                    </w:rPr>
                    <w:t>，占地面积约20m</w:t>
                  </w:r>
                  <w:r>
                    <w:rPr>
                      <w:rFonts w:hint="eastAsia"/>
                      <w:vertAlign w:val="superscript"/>
                    </w:rPr>
                    <w:t>2</w:t>
                  </w:r>
                  <w:r>
                    <w:rPr>
                      <w:rFonts w:hint="eastAsia"/>
                    </w:rPr>
                    <w:t>，用于暂存医疗固废及检验室废液。</w:t>
                  </w:r>
                </w:p>
              </w:tc>
              <w:tc>
                <w:tcPr>
                  <w:tcW w:w="664" w:type="dxa"/>
                  <w:tcBorders>
                    <w:tl2br w:val="nil"/>
                    <w:tr2bl w:val="nil"/>
                  </w:tcBorders>
                  <w:vAlign w:val="center"/>
                </w:tcPr>
                <w:p>
                  <w:pPr>
                    <w:pStyle w:val="146"/>
                  </w:pPr>
                  <w:r>
                    <w:rPr>
                      <w:rFonts w:hint="eastAsia"/>
                    </w:rPr>
                    <w:t>已建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552" w:hRule="atLeast"/>
                <w:jc w:val="center"/>
              </w:trPr>
              <w:tc>
                <w:tcPr>
                  <w:tcW w:w="464" w:type="dxa"/>
                  <w:vMerge w:val="continue"/>
                  <w:tcBorders>
                    <w:tl2br w:val="nil"/>
                    <w:tr2bl w:val="nil"/>
                  </w:tcBorders>
                  <w:vAlign w:val="center"/>
                </w:tcPr>
                <w:p>
                  <w:pPr>
                    <w:pStyle w:val="146"/>
                  </w:pPr>
                </w:p>
              </w:tc>
              <w:tc>
                <w:tcPr>
                  <w:tcW w:w="889" w:type="dxa"/>
                  <w:vMerge w:val="continue"/>
                  <w:tcBorders>
                    <w:tl2br w:val="nil"/>
                    <w:tr2bl w:val="nil"/>
                  </w:tcBorders>
                  <w:vAlign w:val="center"/>
                </w:tcPr>
                <w:p>
                  <w:pPr>
                    <w:pStyle w:val="146"/>
                  </w:pPr>
                </w:p>
              </w:tc>
              <w:tc>
                <w:tcPr>
                  <w:tcW w:w="1747" w:type="dxa"/>
                  <w:tcBorders>
                    <w:tl2br w:val="nil"/>
                    <w:tr2bl w:val="nil"/>
                  </w:tcBorders>
                  <w:vAlign w:val="center"/>
                </w:tcPr>
                <w:p>
                  <w:pPr>
                    <w:pStyle w:val="146"/>
                    <w:jc w:val="both"/>
                  </w:pPr>
                  <w:r>
                    <w:t>医疗固废收集桶</w:t>
                  </w:r>
                </w:p>
              </w:tc>
              <w:tc>
                <w:tcPr>
                  <w:tcW w:w="4604" w:type="dxa"/>
                  <w:tcBorders>
                    <w:tl2br w:val="nil"/>
                    <w:tr2bl w:val="nil"/>
                  </w:tcBorders>
                  <w:vAlign w:val="center"/>
                </w:tcPr>
                <w:p>
                  <w:pPr>
                    <w:pStyle w:val="146"/>
                    <w:jc w:val="both"/>
                  </w:pPr>
                  <w:r>
                    <w:t>医疗废物收集桶、利器盒若干个</w:t>
                  </w:r>
                </w:p>
              </w:tc>
              <w:tc>
                <w:tcPr>
                  <w:tcW w:w="664" w:type="dxa"/>
                  <w:tcBorders>
                    <w:tl2br w:val="nil"/>
                    <w:tr2bl w:val="nil"/>
                  </w:tcBorders>
                  <w:vAlign w:val="center"/>
                </w:tcPr>
                <w:p>
                  <w:pPr>
                    <w:pStyle w:val="146"/>
                  </w:pPr>
                  <w:r>
                    <w:rPr>
                      <w:rFonts w:hint="eastAsia"/>
                    </w:rPr>
                    <w:t>已建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661" w:hRule="atLeast"/>
                <w:jc w:val="center"/>
              </w:trPr>
              <w:tc>
                <w:tcPr>
                  <w:tcW w:w="464" w:type="dxa"/>
                  <w:vMerge w:val="continue"/>
                  <w:tcBorders>
                    <w:tl2br w:val="nil"/>
                    <w:tr2bl w:val="nil"/>
                  </w:tcBorders>
                  <w:vAlign w:val="center"/>
                </w:tcPr>
                <w:p>
                  <w:pPr>
                    <w:pStyle w:val="146"/>
                  </w:pPr>
                </w:p>
              </w:tc>
              <w:tc>
                <w:tcPr>
                  <w:tcW w:w="889" w:type="dxa"/>
                  <w:vMerge w:val="continue"/>
                  <w:tcBorders>
                    <w:tl2br w:val="nil"/>
                    <w:tr2bl w:val="nil"/>
                  </w:tcBorders>
                  <w:vAlign w:val="center"/>
                </w:tcPr>
                <w:p>
                  <w:pPr>
                    <w:pStyle w:val="146"/>
                  </w:pPr>
                </w:p>
              </w:tc>
              <w:tc>
                <w:tcPr>
                  <w:tcW w:w="1747" w:type="dxa"/>
                  <w:tcBorders>
                    <w:tl2br w:val="nil"/>
                    <w:tr2bl w:val="nil"/>
                  </w:tcBorders>
                  <w:vAlign w:val="center"/>
                </w:tcPr>
                <w:p>
                  <w:pPr>
                    <w:pStyle w:val="146"/>
                  </w:pPr>
                  <w:r>
                    <w:t>生活垃圾桶</w:t>
                  </w:r>
                </w:p>
              </w:tc>
              <w:tc>
                <w:tcPr>
                  <w:tcW w:w="4604" w:type="dxa"/>
                  <w:tcBorders>
                    <w:tl2br w:val="nil"/>
                    <w:tr2bl w:val="nil"/>
                  </w:tcBorders>
                  <w:vAlign w:val="center"/>
                </w:tcPr>
                <w:p>
                  <w:pPr>
                    <w:pStyle w:val="146"/>
                    <w:jc w:val="both"/>
                  </w:pPr>
                  <w:r>
                    <w:t>大</w:t>
                  </w:r>
                  <w:bookmarkStart w:id="8" w:name="OLE_LINK65"/>
                  <w:bookmarkStart w:id="9" w:name="OLE_LINK43"/>
                  <w:bookmarkStart w:id="10" w:name="OLE_LINK70"/>
                  <w:bookmarkStart w:id="11" w:name="OLE_LINK33"/>
                  <w:bookmarkStart w:id="12" w:name="OLE_LINK61"/>
                  <w:bookmarkStart w:id="13" w:name="OLE_LINK46"/>
                  <w:bookmarkStart w:id="14" w:name="OLE_LINK29"/>
                  <w:bookmarkStart w:id="15" w:name="OLE_LINK37"/>
                  <w:bookmarkStart w:id="16" w:name="OLE_LINK69"/>
                  <w:bookmarkStart w:id="17" w:name="OLE_LINK45"/>
                  <w:bookmarkStart w:id="18" w:name="OLE_LINK52"/>
                  <w:bookmarkStart w:id="19" w:name="OLE_LINK42"/>
                  <w:bookmarkStart w:id="20" w:name="OLE_LINK32"/>
                  <w:bookmarkStart w:id="21" w:name="OLE_LINK67"/>
                  <w:bookmarkStart w:id="22" w:name="OLE_LINK56"/>
                  <w:bookmarkStart w:id="23" w:name="OLE_LINK38"/>
                  <w:bookmarkStart w:id="24" w:name="OLE_LINK40"/>
                  <w:bookmarkStart w:id="25" w:name="OLE_LINK59"/>
                  <w:bookmarkStart w:id="26" w:name="OLE_LINK49"/>
                  <w:bookmarkStart w:id="27" w:name="OLE_LINK30"/>
                  <w:bookmarkStart w:id="28" w:name="OLE_LINK62"/>
                  <w:bookmarkStart w:id="29" w:name="OLE_LINK35"/>
                  <w:bookmarkStart w:id="30" w:name="OLE_LINK41"/>
                  <w:bookmarkStart w:id="31" w:name="OLE_LINK28"/>
                  <w:bookmarkStart w:id="32" w:name="OLE_LINK74"/>
                  <w:bookmarkStart w:id="33" w:name="OLE_LINK36"/>
                  <w:bookmarkStart w:id="34" w:name="OLE_LINK31"/>
                  <w:bookmarkStart w:id="35" w:name="OLE_LINK48"/>
                  <w:bookmarkStart w:id="36" w:name="OLE_LINK71"/>
                  <w:bookmarkStart w:id="37" w:name="OLE_LINK55"/>
                  <w:bookmarkStart w:id="38" w:name="OLE_LINK73"/>
                  <w:bookmarkStart w:id="39" w:name="OLE_LINK58"/>
                  <w:bookmarkStart w:id="40" w:name="OLE_LINK51"/>
                  <w:bookmarkStart w:id="41" w:name="OLE_LINK57"/>
                  <w:bookmarkStart w:id="42" w:name="OLE_LINK63"/>
                  <w:bookmarkStart w:id="43" w:name="OLE_LINK54"/>
                  <w:bookmarkStart w:id="44" w:name="OLE_LINK72"/>
                  <w:bookmarkStart w:id="45" w:name="OLE_LINK27"/>
                  <w:bookmarkStart w:id="46" w:name="OLE_LINK64"/>
                  <w:bookmarkStart w:id="47" w:name="OLE_LINK66"/>
                  <w:bookmarkStart w:id="48" w:name="OLE_LINK47"/>
                  <w:bookmarkStart w:id="49" w:name="OLE_LINK39"/>
                  <w:bookmarkStart w:id="50" w:name="OLE_LINK44"/>
                  <w:bookmarkStart w:id="51" w:name="OLE_LINK50"/>
                  <w:bookmarkStart w:id="52" w:name="OLE_LINK68"/>
                  <w:bookmarkStart w:id="53" w:name="OLE_LINK53"/>
                  <w:bookmarkStart w:id="54" w:name="OLE_LINK60"/>
                  <w:bookmarkStart w:id="55" w:name="OLE_LINK34"/>
                  <w:r>
                    <w:t>型移动式加盖垃圾收集桶、室内垃圾收集桶</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t>若干个</w:t>
                  </w:r>
                </w:p>
              </w:tc>
              <w:tc>
                <w:tcPr>
                  <w:tcW w:w="664" w:type="dxa"/>
                  <w:tcBorders>
                    <w:tl2br w:val="nil"/>
                    <w:tr2bl w:val="nil"/>
                  </w:tcBorders>
                  <w:vAlign w:val="center"/>
                </w:tcPr>
                <w:p>
                  <w:pPr>
                    <w:pStyle w:val="146"/>
                  </w:pPr>
                  <w:r>
                    <w:rPr>
                      <w:rFonts w:hint="eastAsia"/>
                    </w:rPr>
                    <w:t>已建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281" w:hRule="atLeast"/>
                <w:jc w:val="center"/>
              </w:trPr>
              <w:tc>
                <w:tcPr>
                  <w:tcW w:w="464" w:type="dxa"/>
                  <w:vMerge w:val="continue"/>
                  <w:tcBorders>
                    <w:tl2br w:val="nil"/>
                    <w:tr2bl w:val="nil"/>
                  </w:tcBorders>
                  <w:vAlign w:val="center"/>
                </w:tcPr>
                <w:p>
                  <w:pPr>
                    <w:pStyle w:val="146"/>
                  </w:pPr>
                </w:p>
              </w:tc>
              <w:tc>
                <w:tcPr>
                  <w:tcW w:w="889" w:type="dxa"/>
                  <w:vMerge w:val="restart"/>
                  <w:tcBorders>
                    <w:tl2br w:val="nil"/>
                    <w:tr2bl w:val="nil"/>
                  </w:tcBorders>
                  <w:vAlign w:val="center"/>
                </w:tcPr>
                <w:p>
                  <w:pPr>
                    <w:pStyle w:val="146"/>
                  </w:pPr>
                  <w:r>
                    <w:t>废水</w:t>
                  </w:r>
                </w:p>
              </w:tc>
              <w:tc>
                <w:tcPr>
                  <w:tcW w:w="1747" w:type="dxa"/>
                  <w:tcBorders>
                    <w:tl2br w:val="nil"/>
                    <w:tr2bl w:val="nil"/>
                  </w:tcBorders>
                  <w:vAlign w:val="center"/>
                </w:tcPr>
                <w:p>
                  <w:pPr>
                    <w:pStyle w:val="146"/>
                  </w:pPr>
                  <w:r>
                    <w:rPr>
                      <w:rFonts w:hint="eastAsia"/>
                    </w:rPr>
                    <w:t>隔油池</w:t>
                  </w:r>
                </w:p>
              </w:tc>
              <w:tc>
                <w:tcPr>
                  <w:tcW w:w="4604" w:type="dxa"/>
                  <w:tcBorders>
                    <w:tl2br w:val="nil"/>
                    <w:tr2bl w:val="nil"/>
                  </w:tcBorders>
                  <w:vAlign w:val="center"/>
                </w:tcPr>
                <w:p>
                  <w:pPr>
                    <w:pStyle w:val="146"/>
                    <w:jc w:val="both"/>
                  </w:pPr>
                  <w:r>
                    <w:rPr>
                      <w:rFonts w:hint="eastAsia"/>
                    </w:rPr>
                    <w:t>1座，在食堂西侧，容积为0.5</w:t>
                  </w:r>
                  <w:r>
                    <w:t>m</w:t>
                  </w:r>
                  <w:r>
                    <w:rPr>
                      <w:vertAlign w:val="superscript"/>
                    </w:rPr>
                    <w:t>3</w:t>
                  </w:r>
                  <w:r>
                    <w:rPr>
                      <w:rFonts w:hint="eastAsia"/>
                    </w:rPr>
                    <w:t>，主要用于处理食堂含油废水</w:t>
                  </w:r>
                </w:p>
              </w:tc>
              <w:tc>
                <w:tcPr>
                  <w:tcW w:w="664" w:type="dxa"/>
                  <w:tcBorders>
                    <w:tl2br w:val="nil"/>
                    <w:tr2bl w:val="nil"/>
                  </w:tcBorders>
                  <w:vAlign w:val="center"/>
                </w:tcPr>
                <w:p>
                  <w:pPr>
                    <w:pStyle w:val="146"/>
                  </w:pPr>
                  <w:r>
                    <w:rPr>
                      <w:rFonts w:hint="eastAsia"/>
                    </w:rPr>
                    <w:t>已建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281" w:hRule="atLeast"/>
                <w:jc w:val="center"/>
              </w:trPr>
              <w:tc>
                <w:tcPr>
                  <w:tcW w:w="464" w:type="dxa"/>
                  <w:vMerge w:val="continue"/>
                  <w:tcBorders>
                    <w:tl2br w:val="nil"/>
                    <w:tr2bl w:val="nil"/>
                  </w:tcBorders>
                  <w:vAlign w:val="center"/>
                </w:tcPr>
                <w:p>
                  <w:pPr>
                    <w:pStyle w:val="146"/>
                  </w:pPr>
                </w:p>
              </w:tc>
              <w:tc>
                <w:tcPr>
                  <w:tcW w:w="889" w:type="dxa"/>
                  <w:vMerge w:val="continue"/>
                  <w:tcBorders>
                    <w:tl2br w:val="nil"/>
                    <w:tr2bl w:val="nil"/>
                  </w:tcBorders>
                  <w:vAlign w:val="center"/>
                </w:tcPr>
                <w:p>
                  <w:pPr>
                    <w:pStyle w:val="146"/>
                  </w:pPr>
                </w:p>
              </w:tc>
              <w:tc>
                <w:tcPr>
                  <w:tcW w:w="1747" w:type="dxa"/>
                  <w:tcBorders>
                    <w:tl2br w:val="nil"/>
                    <w:tr2bl w:val="nil"/>
                  </w:tcBorders>
                  <w:vAlign w:val="center"/>
                </w:tcPr>
                <w:p>
                  <w:pPr>
                    <w:pStyle w:val="146"/>
                  </w:pPr>
                  <w:r>
                    <w:t>化粪池</w:t>
                  </w:r>
                </w:p>
              </w:tc>
              <w:tc>
                <w:tcPr>
                  <w:tcW w:w="4604" w:type="dxa"/>
                  <w:tcBorders>
                    <w:tl2br w:val="nil"/>
                    <w:tr2bl w:val="nil"/>
                  </w:tcBorders>
                  <w:vAlign w:val="center"/>
                </w:tcPr>
                <w:p>
                  <w:pPr>
                    <w:pStyle w:val="146"/>
                    <w:jc w:val="both"/>
                  </w:pPr>
                  <w:r>
                    <w:rPr>
                      <w:rFonts w:hint="eastAsia"/>
                    </w:rPr>
                    <w:t>4座化粪池，在门诊综合楼、行政办公楼、1#住院楼及3#住院楼旁分别建设有一座化粪池1</w:t>
                  </w:r>
                  <w:r>
                    <w:t>个，</w:t>
                  </w:r>
                  <w:r>
                    <w:rPr>
                      <w:rFonts w:hint="eastAsia"/>
                    </w:rPr>
                    <w:t>容积分别为5</w:t>
                  </w:r>
                  <w:r>
                    <w:t>m</w:t>
                  </w:r>
                  <w:r>
                    <w:rPr>
                      <w:vertAlign w:val="superscript"/>
                    </w:rPr>
                    <w:t>3</w:t>
                  </w:r>
                  <w:r>
                    <w:rPr>
                      <w:rFonts w:hint="eastAsia"/>
                    </w:rPr>
                    <w:t>、5</w:t>
                  </w:r>
                  <w:r>
                    <w:t>m</w:t>
                  </w:r>
                  <w:r>
                    <w:rPr>
                      <w:vertAlign w:val="superscript"/>
                    </w:rPr>
                    <w:t>3</w:t>
                  </w:r>
                  <w:r>
                    <w:rPr>
                      <w:rFonts w:hint="eastAsia"/>
                    </w:rPr>
                    <w:t>、4</w:t>
                  </w:r>
                  <w:r>
                    <w:t>m</w:t>
                  </w:r>
                  <w:r>
                    <w:rPr>
                      <w:vertAlign w:val="superscript"/>
                    </w:rPr>
                    <w:t>3</w:t>
                  </w:r>
                  <w:r>
                    <w:rPr>
                      <w:rFonts w:hint="eastAsia"/>
                    </w:rPr>
                    <w:t>、4</w:t>
                  </w:r>
                  <w:r>
                    <w:t>m</w:t>
                  </w:r>
                  <w:r>
                    <w:rPr>
                      <w:vertAlign w:val="superscript"/>
                    </w:rPr>
                    <w:t>3</w:t>
                  </w:r>
                </w:p>
              </w:tc>
              <w:tc>
                <w:tcPr>
                  <w:tcW w:w="664" w:type="dxa"/>
                  <w:tcBorders>
                    <w:tl2br w:val="nil"/>
                    <w:tr2bl w:val="nil"/>
                  </w:tcBorders>
                  <w:vAlign w:val="center"/>
                </w:tcPr>
                <w:p>
                  <w:pPr>
                    <w:pStyle w:val="146"/>
                  </w:pPr>
                  <w:r>
                    <w:rPr>
                      <w:rFonts w:hint="eastAsia"/>
                    </w:rPr>
                    <w:t>已建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562" w:hRule="atLeast"/>
                <w:jc w:val="center"/>
              </w:trPr>
              <w:tc>
                <w:tcPr>
                  <w:tcW w:w="464" w:type="dxa"/>
                  <w:vMerge w:val="continue"/>
                  <w:tcBorders>
                    <w:tl2br w:val="nil"/>
                    <w:tr2bl w:val="nil"/>
                  </w:tcBorders>
                  <w:vAlign w:val="center"/>
                </w:tcPr>
                <w:p>
                  <w:pPr>
                    <w:pStyle w:val="146"/>
                  </w:pPr>
                </w:p>
              </w:tc>
              <w:tc>
                <w:tcPr>
                  <w:tcW w:w="889" w:type="dxa"/>
                  <w:vMerge w:val="continue"/>
                  <w:tcBorders>
                    <w:tl2br w:val="nil"/>
                    <w:tr2bl w:val="nil"/>
                  </w:tcBorders>
                  <w:vAlign w:val="center"/>
                </w:tcPr>
                <w:p>
                  <w:pPr>
                    <w:pStyle w:val="146"/>
                  </w:pPr>
                </w:p>
              </w:tc>
              <w:tc>
                <w:tcPr>
                  <w:tcW w:w="1747" w:type="dxa"/>
                  <w:tcBorders>
                    <w:tl2br w:val="nil"/>
                    <w:tr2bl w:val="nil"/>
                  </w:tcBorders>
                  <w:vAlign w:val="center"/>
                </w:tcPr>
                <w:p>
                  <w:pPr>
                    <w:pStyle w:val="146"/>
                  </w:pPr>
                  <w:r>
                    <w:t>污水处理站</w:t>
                  </w:r>
                </w:p>
              </w:tc>
              <w:tc>
                <w:tcPr>
                  <w:tcW w:w="4604" w:type="dxa"/>
                  <w:tcBorders>
                    <w:tl2br w:val="nil"/>
                    <w:tr2bl w:val="nil"/>
                  </w:tcBorders>
                  <w:vAlign w:val="center"/>
                </w:tcPr>
                <w:p>
                  <w:pPr>
                    <w:pStyle w:val="146"/>
                    <w:jc w:val="both"/>
                  </w:pPr>
                  <w:r>
                    <w:rPr>
                      <w:rFonts w:hint="eastAsia"/>
                    </w:rPr>
                    <w:t>一体化污水处理站</w:t>
                  </w:r>
                  <w:r>
                    <w:t>1座，</w:t>
                  </w:r>
                  <w:r>
                    <w:rPr>
                      <w:rFonts w:hint="eastAsia"/>
                    </w:rPr>
                    <w:t>占地面积约40m</w:t>
                  </w:r>
                  <w:r>
                    <w:rPr>
                      <w:rFonts w:hint="eastAsia"/>
                      <w:vertAlign w:val="superscript"/>
                    </w:rPr>
                    <w:t>2</w:t>
                  </w:r>
                  <w:r>
                    <w:rPr>
                      <w:rFonts w:hint="eastAsia"/>
                    </w:rPr>
                    <w:t>，包括控制间、接触消毒区、沉淀区、好氧生物接触氧化区等，</w:t>
                  </w:r>
                  <w:r>
                    <w:t>处理能力</w:t>
                  </w:r>
                  <w:r>
                    <w:rPr>
                      <w:rFonts w:hint="eastAsia"/>
                    </w:rPr>
                    <w:t>不小于15</w:t>
                  </w:r>
                  <w:r>
                    <w:t>m</w:t>
                  </w:r>
                  <w:r>
                    <w:rPr>
                      <w:vertAlign w:val="superscript"/>
                    </w:rPr>
                    <w:t>3</w:t>
                  </w:r>
                  <w:r>
                    <w:t>/d</w:t>
                  </w:r>
                </w:p>
              </w:tc>
              <w:tc>
                <w:tcPr>
                  <w:tcW w:w="664" w:type="dxa"/>
                  <w:tcBorders>
                    <w:tl2br w:val="nil"/>
                    <w:tr2bl w:val="nil"/>
                  </w:tcBorders>
                  <w:vAlign w:val="center"/>
                </w:tcPr>
                <w:p>
                  <w:pPr>
                    <w:pStyle w:val="146"/>
                  </w:pPr>
                  <w:r>
                    <w:t>新建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562" w:hRule="atLeast"/>
                <w:jc w:val="center"/>
              </w:trPr>
              <w:tc>
                <w:tcPr>
                  <w:tcW w:w="464" w:type="dxa"/>
                  <w:vMerge w:val="continue"/>
                  <w:tcBorders>
                    <w:tl2br w:val="nil"/>
                    <w:tr2bl w:val="nil"/>
                  </w:tcBorders>
                  <w:vAlign w:val="center"/>
                </w:tcPr>
                <w:p>
                  <w:pPr>
                    <w:pStyle w:val="146"/>
                  </w:pPr>
                </w:p>
              </w:tc>
              <w:tc>
                <w:tcPr>
                  <w:tcW w:w="889" w:type="dxa"/>
                  <w:tcBorders>
                    <w:tl2br w:val="nil"/>
                    <w:tr2bl w:val="nil"/>
                  </w:tcBorders>
                  <w:vAlign w:val="center"/>
                </w:tcPr>
                <w:p>
                  <w:pPr>
                    <w:pStyle w:val="146"/>
                  </w:pPr>
                  <w:r>
                    <w:rPr>
                      <w:rFonts w:hint="eastAsia"/>
                    </w:rPr>
                    <w:t>噪声</w:t>
                  </w:r>
                </w:p>
              </w:tc>
              <w:tc>
                <w:tcPr>
                  <w:tcW w:w="1747" w:type="dxa"/>
                  <w:tcBorders>
                    <w:tl2br w:val="nil"/>
                    <w:tr2bl w:val="nil"/>
                  </w:tcBorders>
                  <w:vAlign w:val="center"/>
                </w:tcPr>
                <w:p>
                  <w:pPr>
                    <w:pStyle w:val="146"/>
                    <w:rPr>
                      <w:color w:val="FF0000"/>
                    </w:rPr>
                  </w:pPr>
                  <w:r>
                    <w:rPr>
                      <w:rFonts w:hint="eastAsia"/>
                      <w:color w:val="FF0000"/>
                    </w:rPr>
                    <w:t>隔声减震</w:t>
                  </w:r>
                </w:p>
              </w:tc>
              <w:tc>
                <w:tcPr>
                  <w:tcW w:w="4604" w:type="dxa"/>
                  <w:tcBorders>
                    <w:tl2br w:val="nil"/>
                    <w:tr2bl w:val="nil"/>
                  </w:tcBorders>
                  <w:vAlign w:val="center"/>
                </w:tcPr>
                <w:p>
                  <w:pPr>
                    <w:pStyle w:val="146"/>
                    <w:jc w:val="both"/>
                    <w:rPr>
                      <w:color w:val="FF0000"/>
                    </w:rPr>
                  </w:pPr>
                  <w:r>
                    <w:rPr>
                      <w:rFonts w:hint="eastAsia"/>
                      <w:color w:val="FF0000"/>
                      <w:szCs w:val="21"/>
                    </w:rPr>
                    <w:t>污水处理站水泵、风机基础减震，设置于风机柜内；备用发电机设置于机房内。</w:t>
                  </w:r>
                </w:p>
              </w:tc>
              <w:tc>
                <w:tcPr>
                  <w:tcW w:w="664" w:type="dxa"/>
                  <w:tcBorders>
                    <w:tl2br w:val="nil"/>
                    <w:tr2bl w:val="nil"/>
                  </w:tcBorders>
                  <w:vAlign w:val="center"/>
                </w:tcPr>
                <w:p>
                  <w:pPr>
                    <w:pStyle w:val="146"/>
                  </w:pPr>
                  <w:r>
                    <w:rPr>
                      <w:rFonts w:hint="eastAsia"/>
                    </w:rPr>
                    <w:t>新建</w:t>
                  </w:r>
                </w:p>
              </w:tc>
            </w:tr>
          </w:tbl>
          <w:p>
            <w:pPr>
              <w:pStyle w:val="5"/>
              <w:spacing w:before="326"/>
              <w:ind w:firstLine="482"/>
            </w:pPr>
            <w:r>
              <w:rPr>
                <w:rFonts w:hint="eastAsia"/>
              </w:rPr>
              <w:t>3、</w:t>
            </w:r>
            <w:r>
              <w:t>主要生产设备</w:t>
            </w:r>
          </w:p>
          <w:p>
            <w:pPr>
              <w:ind w:firstLine="480"/>
            </w:pPr>
            <w:r>
              <w:rPr>
                <w:rFonts w:hint="eastAsia"/>
              </w:rPr>
              <w:t>本卫生院主要设备如下：</w:t>
            </w:r>
          </w:p>
          <w:p>
            <w:pPr>
              <w:pStyle w:val="66"/>
              <w:ind w:firstLine="422"/>
            </w:pPr>
            <w:r>
              <w:rPr>
                <w:rFonts w:hint="eastAsia"/>
              </w:rPr>
              <w:t>表2-2  项目主要设备一览表</w:t>
            </w:r>
          </w:p>
          <w:tbl>
            <w:tblPr>
              <w:tblStyle w:val="37"/>
              <w:tblW w:w="731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37"/>
              <w:gridCol w:w="1976"/>
              <w:gridCol w:w="1367"/>
              <w:gridCol w:w="730"/>
              <w:gridCol w:w="210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137" w:type="dxa"/>
                  <w:tcBorders>
                    <w:tl2br w:val="nil"/>
                    <w:tr2bl w:val="nil"/>
                  </w:tcBorders>
                </w:tcPr>
                <w:p>
                  <w:pPr>
                    <w:pStyle w:val="146"/>
                  </w:pPr>
                  <w:r>
                    <w:rPr>
                      <w:rFonts w:hint="eastAsia"/>
                    </w:rPr>
                    <w:t>序号</w:t>
                  </w:r>
                </w:p>
              </w:tc>
              <w:tc>
                <w:tcPr>
                  <w:tcW w:w="1976" w:type="dxa"/>
                  <w:tcBorders>
                    <w:tl2br w:val="nil"/>
                    <w:tr2bl w:val="nil"/>
                  </w:tcBorders>
                </w:tcPr>
                <w:p>
                  <w:pPr>
                    <w:pStyle w:val="146"/>
                  </w:pPr>
                  <w:r>
                    <w:rPr>
                      <w:rFonts w:hint="eastAsia"/>
                    </w:rPr>
                    <w:t>名称</w:t>
                  </w:r>
                </w:p>
              </w:tc>
              <w:tc>
                <w:tcPr>
                  <w:tcW w:w="1367" w:type="dxa"/>
                  <w:tcBorders>
                    <w:tl2br w:val="nil"/>
                    <w:tr2bl w:val="nil"/>
                  </w:tcBorders>
                </w:tcPr>
                <w:p>
                  <w:pPr>
                    <w:pStyle w:val="146"/>
                  </w:pPr>
                  <w:r>
                    <w:rPr>
                      <w:rFonts w:hint="eastAsia"/>
                    </w:rPr>
                    <w:t>数量</w:t>
                  </w:r>
                </w:p>
              </w:tc>
              <w:tc>
                <w:tcPr>
                  <w:tcW w:w="730" w:type="dxa"/>
                  <w:tcBorders>
                    <w:tl2br w:val="nil"/>
                    <w:tr2bl w:val="nil"/>
                  </w:tcBorders>
                </w:tcPr>
                <w:p>
                  <w:pPr>
                    <w:pStyle w:val="146"/>
                  </w:pPr>
                  <w:r>
                    <w:rPr>
                      <w:rFonts w:hint="eastAsia"/>
                    </w:rPr>
                    <w:t>单位</w:t>
                  </w:r>
                </w:p>
              </w:tc>
              <w:tc>
                <w:tcPr>
                  <w:tcW w:w="2108" w:type="dxa"/>
                  <w:tcBorders>
                    <w:tl2br w:val="nil"/>
                    <w:tr2bl w:val="nil"/>
                  </w:tcBorders>
                </w:tcPr>
                <w:p>
                  <w:pPr>
                    <w:pStyle w:val="146"/>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1137" w:type="dxa"/>
                  <w:tcBorders>
                    <w:tl2br w:val="nil"/>
                    <w:tr2bl w:val="nil"/>
                  </w:tcBorders>
                </w:tcPr>
                <w:p>
                  <w:pPr>
                    <w:pStyle w:val="146"/>
                  </w:pPr>
                  <w:r>
                    <w:rPr>
                      <w:rFonts w:hint="eastAsia"/>
                    </w:rPr>
                    <w:t>1</w:t>
                  </w:r>
                </w:p>
              </w:tc>
              <w:tc>
                <w:tcPr>
                  <w:tcW w:w="1976" w:type="dxa"/>
                  <w:tcBorders>
                    <w:tl2br w:val="nil"/>
                    <w:tr2bl w:val="nil"/>
                  </w:tcBorders>
                  <w:vAlign w:val="center"/>
                </w:tcPr>
                <w:p>
                  <w:pPr>
                    <w:pStyle w:val="146"/>
                  </w:pPr>
                  <w:r>
                    <w:rPr>
                      <w:rFonts w:hint="eastAsia"/>
                    </w:rPr>
                    <w:t>血液分析仪</w:t>
                  </w:r>
                </w:p>
              </w:tc>
              <w:tc>
                <w:tcPr>
                  <w:tcW w:w="1367" w:type="dxa"/>
                  <w:tcBorders>
                    <w:tl2br w:val="nil"/>
                    <w:tr2bl w:val="nil"/>
                  </w:tcBorders>
                </w:tcPr>
                <w:p>
                  <w:pPr>
                    <w:pStyle w:val="146"/>
                  </w:pPr>
                  <w:r>
                    <w:rPr>
                      <w:rFonts w:hint="eastAsia"/>
                    </w:rPr>
                    <w:t>2</w:t>
                  </w:r>
                </w:p>
              </w:tc>
              <w:tc>
                <w:tcPr>
                  <w:tcW w:w="730" w:type="dxa"/>
                  <w:tcBorders>
                    <w:tl2br w:val="nil"/>
                    <w:tr2bl w:val="nil"/>
                  </w:tcBorders>
                </w:tcPr>
                <w:p>
                  <w:pPr>
                    <w:pStyle w:val="146"/>
                  </w:pPr>
                  <w:r>
                    <w:rPr>
                      <w:rFonts w:hint="eastAsia"/>
                    </w:rPr>
                    <w:t>台</w:t>
                  </w:r>
                </w:p>
              </w:tc>
              <w:tc>
                <w:tcPr>
                  <w:tcW w:w="2108" w:type="dxa"/>
                  <w:tcBorders>
                    <w:tl2br w:val="nil"/>
                    <w:tr2bl w:val="nil"/>
                  </w:tcBorders>
                </w:tcPr>
                <w:p>
                  <w:pPr>
                    <w:pStyle w:val="146"/>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1137" w:type="dxa"/>
                  <w:tcBorders>
                    <w:tl2br w:val="nil"/>
                    <w:tr2bl w:val="nil"/>
                  </w:tcBorders>
                </w:tcPr>
                <w:p>
                  <w:pPr>
                    <w:pStyle w:val="146"/>
                  </w:pPr>
                  <w:r>
                    <w:rPr>
                      <w:rFonts w:hint="eastAsia"/>
                    </w:rPr>
                    <w:t>2</w:t>
                  </w:r>
                </w:p>
              </w:tc>
              <w:tc>
                <w:tcPr>
                  <w:tcW w:w="1976" w:type="dxa"/>
                  <w:tcBorders>
                    <w:tl2br w:val="nil"/>
                    <w:tr2bl w:val="nil"/>
                  </w:tcBorders>
                  <w:vAlign w:val="center"/>
                </w:tcPr>
                <w:p>
                  <w:pPr>
                    <w:pStyle w:val="146"/>
                  </w:pPr>
                  <w:r>
                    <w:rPr>
                      <w:rFonts w:hint="eastAsia"/>
                    </w:rPr>
                    <w:t>生化分析仪</w:t>
                  </w:r>
                </w:p>
              </w:tc>
              <w:tc>
                <w:tcPr>
                  <w:tcW w:w="1367" w:type="dxa"/>
                  <w:tcBorders>
                    <w:tl2br w:val="nil"/>
                    <w:tr2bl w:val="nil"/>
                  </w:tcBorders>
                </w:tcPr>
                <w:p>
                  <w:pPr>
                    <w:pStyle w:val="146"/>
                  </w:pPr>
                  <w:r>
                    <w:rPr>
                      <w:rFonts w:hint="eastAsia"/>
                    </w:rPr>
                    <w:t>2</w:t>
                  </w:r>
                </w:p>
              </w:tc>
              <w:tc>
                <w:tcPr>
                  <w:tcW w:w="730" w:type="dxa"/>
                  <w:tcBorders>
                    <w:tl2br w:val="nil"/>
                    <w:tr2bl w:val="nil"/>
                  </w:tcBorders>
                </w:tcPr>
                <w:p>
                  <w:pPr>
                    <w:pStyle w:val="146"/>
                  </w:pPr>
                  <w:r>
                    <w:rPr>
                      <w:rFonts w:hint="eastAsia"/>
                    </w:rPr>
                    <w:t>台</w:t>
                  </w:r>
                </w:p>
              </w:tc>
              <w:tc>
                <w:tcPr>
                  <w:tcW w:w="2108" w:type="dxa"/>
                  <w:tcBorders>
                    <w:tl2br w:val="nil"/>
                    <w:tr2bl w:val="nil"/>
                  </w:tcBorders>
                </w:tcPr>
                <w:p>
                  <w:pPr>
                    <w:pStyle w:val="146"/>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1137" w:type="dxa"/>
                  <w:tcBorders>
                    <w:tl2br w:val="nil"/>
                    <w:tr2bl w:val="nil"/>
                  </w:tcBorders>
                </w:tcPr>
                <w:p>
                  <w:pPr>
                    <w:pStyle w:val="146"/>
                  </w:pPr>
                  <w:r>
                    <w:rPr>
                      <w:rFonts w:hint="eastAsia"/>
                    </w:rPr>
                    <w:t>3</w:t>
                  </w:r>
                </w:p>
              </w:tc>
              <w:tc>
                <w:tcPr>
                  <w:tcW w:w="1976" w:type="dxa"/>
                  <w:tcBorders>
                    <w:tl2br w:val="nil"/>
                    <w:tr2bl w:val="nil"/>
                  </w:tcBorders>
                  <w:vAlign w:val="center"/>
                </w:tcPr>
                <w:p>
                  <w:pPr>
                    <w:pStyle w:val="146"/>
                  </w:pPr>
                  <w:r>
                    <w:rPr>
                      <w:rFonts w:hint="eastAsia"/>
                    </w:rPr>
                    <w:t>脑电地形图仪</w:t>
                  </w:r>
                </w:p>
              </w:tc>
              <w:tc>
                <w:tcPr>
                  <w:tcW w:w="1367" w:type="dxa"/>
                  <w:tcBorders>
                    <w:tl2br w:val="nil"/>
                    <w:tr2bl w:val="nil"/>
                  </w:tcBorders>
                </w:tcPr>
                <w:p>
                  <w:pPr>
                    <w:pStyle w:val="146"/>
                  </w:pPr>
                  <w:r>
                    <w:rPr>
                      <w:rFonts w:hint="eastAsia"/>
                    </w:rPr>
                    <w:t>3</w:t>
                  </w:r>
                </w:p>
              </w:tc>
              <w:tc>
                <w:tcPr>
                  <w:tcW w:w="730" w:type="dxa"/>
                  <w:tcBorders>
                    <w:tl2br w:val="nil"/>
                    <w:tr2bl w:val="nil"/>
                  </w:tcBorders>
                </w:tcPr>
                <w:p>
                  <w:pPr>
                    <w:pStyle w:val="146"/>
                  </w:pPr>
                  <w:r>
                    <w:rPr>
                      <w:rFonts w:hint="eastAsia"/>
                    </w:rPr>
                    <w:t>台</w:t>
                  </w:r>
                </w:p>
              </w:tc>
              <w:tc>
                <w:tcPr>
                  <w:tcW w:w="2108" w:type="dxa"/>
                  <w:tcBorders>
                    <w:tl2br w:val="nil"/>
                    <w:tr2bl w:val="nil"/>
                  </w:tcBorders>
                </w:tcPr>
                <w:p>
                  <w:pPr>
                    <w:pStyle w:val="146"/>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1137" w:type="dxa"/>
                  <w:tcBorders>
                    <w:tl2br w:val="nil"/>
                    <w:tr2bl w:val="nil"/>
                  </w:tcBorders>
                </w:tcPr>
                <w:p>
                  <w:pPr>
                    <w:pStyle w:val="146"/>
                  </w:pPr>
                  <w:r>
                    <w:rPr>
                      <w:rFonts w:hint="eastAsia"/>
                    </w:rPr>
                    <w:t>4</w:t>
                  </w:r>
                </w:p>
              </w:tc>
              <w:tc>
                <w:tcPr>
                  <w:tcW w:w="1976" w:type="dxa"/>
                  <w:tcBorders>
                    <w:tl2br w:val="nil"/>
                    <w:tr2bl w:val="nil"/>
                  </w:tcBorders>
                  <w:vAlign w:val="center"/>
                </w:tcPr>
                <w:p>
                  <w:pPr>
                    <w:pStyle w:val="146"/>
                  </w:pPr>
                  <w:r>
                    <w:rPr>
                      <w:rFonts w:hint="eastAsia"/>
                    </w:rPr>
                    <w:t>体温计</w:t>
                  </w:r>
                </w:p>
              </w:tc>
              <w:tc>
                <w:tcPr>
                  <w:tcW w:w="1367" w:type="dxa"/>
                  <w:tcBorders>
                    <w:tl2br w:val="nil"/>
                    <w:tr2bl w:val="nil"/>
                  </w:tcBorders>
                </w:tcPr>
                <w:p>
                  <w:pPr>
                    <w:pStyle w:val="146"/>
                  </w:pPr>
                  <w:r>
                    <w:rPr>
                      <w:rFonts w:hint="eastAsia"/>
                    </w:rPr>
                    <w:t>15</w:t>
                  </w:r>
                </w:p>
              </w:tc>
              <w:tc>
                <w:tcPr>
                  <w:tcW w:w="730" w:type="dxa"/>
                  <w:tcBorders>
                    <w:tl2br w:val="nil"/>
                    <w:tr2bl w:val="nil"/>
                  </w:tcBorders>
                </w:tcPr>
                <w:p>
                  <w:pPr>
                    <w:pStyle w:val="146"/>
                  </w:pPr>
                  <w:r>
                    <w:rPr>
                      <w:rFonts w:hint="eastAsia"/>
                    </w:rPr>
                    <w:t>只</w:t>
                  </w:r>
                </w:p>
              </w:tc>
              <w:tc>
                <w:tcPr>
                  <w:tcW w:w="2108" w:type="dxa"/>
                  <w:tcBorders>
                    <w:tl2br w:val="nil"/>
                    <w:tr2bl w:val="nil"/>
                  </w:tcBorders>
                </w:tcPr>
                <w:p>
                  <w:pPr>
                    <w:pStyle w:val="146"/>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1137" w:type="dxa"/>
                  <w:tcBorders>
                    <w:tl2br w:val="nil"/>
                    <w:tr2bl w:val="nil"/>
                  </w:tcBorders>
                </w:tcPr>
                <w:p>
                  <w:pPr>
                    <w:pStyle w:val="146"/>
                  </w:pPr>
                  <w:r>
                    <w:rPr>
                      <w:rFonts w:hint="eastAsia"/>
                    </w:rPr>
                    <w:t>5</w:t>
                  </w:r>
                </w:p>
              </w:tc>
              <w:tc>
                <w:tcPr>
                  <w:tcW w:w="1976" w:type="dxa"/>
                  <w:tcBorders>
                    <w:tl2br w:val="nil"/>
                    <w:tr2bl w:val="nil"/>
                  </w:tcBorders>
                  <w:vAlign w:val="center"/>
                </w:tcPr>
                <w:p>
                  <w:pPr>
                    <w:pStyle w:val="146"/>
                  </w:pPr>
                  <w:r>
                    <w:rPr>
                      <w:rFonts w:hint="eastAsia"/>
                    </w:rPr>
                    <w:t>备用发电机</w:t>
                  </w:r>
                </w:p>
              </w:tc>
              <w:tc>
                <w:tcPr>
                  <w:tcW w:w="1367" w:type="dxa"/>
                  <w:tcBorders>
                    <w:tl2br w:val="nil"/>
                    <w:tr2bl w:val="nil"/>
                  </w:tcBorders>
                </w:tcPr>
                <w:p>
                  <w:pPr>
                    <w:pStyle w:val="146"/>
                  </w:pPr>
                  <w:r>
                    <w:rPr>
                      <w:rFonts w:hint="eastAsia"/>
                    </w:rPr>
                    <w:t>1</w:t>
                  </w:r>
                </w:p>
              </w:tc>
              <w:tc>
                <w:tcPr>
                  <w:tcW w:w="730" w:type="dxa"/>
                  <w:tcBorders>
                    <w:tl2br w:val="nil"/>
                    <w:tr2bl w:val="nil"/>
                  </w:tcBorders>
                </w:tcPr>
                <w:p>
                  <w:pPr>
                    <w:pStyle w:val="146"/>
                  </w:pPr>
                  <w:r>
                    <w:rPr>
                      <w:rFonts w:hint="eastAsia"/>
                    </w:rPr>
                    <w:t>台</w:t>
                  </w:r>
                </w:p>
              </w:tc>
              <w:tc>
                <w:tcPr>
                  <w:tcW w:w="2108" w:type="dxa"/>
                  <w:tcBorders>
                    <w:tl2br w:val="nil"/>
                    <w:tr2bl w:val="nil"/>
                  </w:tcBorders>
                </w:tcPr>
                <w:p>
                  <w:pPr>
                    <w:pStyle w:val="146"/>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1137" w:type="dxa"/>
                  <w:tcBorders>
                    <w:tl2br w:val="nil"/>
                    <w:tr2bl w:val="nil"/>
                  </w:tcBorders>
                </w:tcPr>
                <w:p>
                  <w:pPr>
                    <w:pStyle w:val="146"/>
                    <w:rPr>
                      <w:color w:val="FF0000"/>
                    </w:rPr>
                  </w:pPr>
                  <w:r>
                    <w:rPr>
                      <w:rFonts w:hint="eastAsia"/>
                      <w:color w:val="FF0000"/>
                    </w:rPr>
                    <w:t>6</w:t>
                  </w:r>
                </w:p>
              </w:tc>
              <w:tc>
                <w:tcPr>
                  <w:tcW w:w="1976" w:type="dxa"/>
                  <w:tcBorders>
                    <w:tl2br w:val="nil"/>
                    <w:tr2bl w:val="nil"/>
                  </w:tcBorders>
                  <w:vAlign w:val="center"/>
                </w:tcPr>
                <w:p>
                  <w:pPr>
                    <w:pStyle w:val="146"/>
                    <w:rPr>
                      <w:color w:val="FF0000"/>
                    </w:rPr>
                  </w:pPr>
                  <w:r>
                    <w:rPr>
                      <w:rFonts w:hint="eastAsia"/>
                      <w:color w:val="FF0000"/>
                    </w:rPr>
                    <w:t>一体化污水处理站</w:t>
                  </w:r>
                </w:p>
              </w:tc>
              <w:tc>
                <w:tcPr>
                  <w:tcW w:w="1367" w:type="dxa"/>
                  <w:tcBorders>
                    <w:tl2br w:val="nil"/>
                    <w:tr2bl w:val="nil"/>
                  </w:tcBorders>
                </w:tcPr>
                <w:p>
                  <w:pPr>
                    <w:pStyle w:val="146"/>
                    <w:rPr>
                      <w:color w:val="FF0000"/>
                    </w:rPr>
                  </w:pPr>
                  <w:r>
                    <w:rPr>
                      <w:rFonts w:hint="eastAsia"/>
                      <w:color w:val="FF0000"/>
                    </w:rPr>
                    <w:t>1</w:t>
                  </w:r>
                </w:p>
              </w:tc>
              <w:tc>
                <w:tcPr>
                  <w:tcW w:w="730" w:type="dxa"/>
                  <w:tcBorders>
                    <w:tl2br w:val="nil"/>
                    <w:tr2bl w:val="nil"/>
                  </w:tcBorders>
                </w:tcPr>
                <w:p>
                  <w:pPr>
                    <w:pStyle w:val="146"/>
                    <w:rPr>
                      <w:color w:val="FF0000"/>
                    </w:rPr>
                  </w:pPr>
                  <w:r>
                    <w:rPr>
                      <w:rFonts w:hint="eastAsia"/>
                      <w:color w:val="FF0000"/>
                    </w:rPr>
                    <w:t>套</w:t>
                  </w:r>
                </w:p>
              </w:tc>
              <w:tc>
                <w:tcPr>
                  <w:tcW w:w="2108" w:type="dxa"/>
                  <w:tcBorders>
                    <w:tl2br w:val="nil"/>
                    <w:tr2bl w:val="nil"/>
                  </w:tcBorders>
                </w:tcPr>
                <w:p>
                  <w:pPr>
                    <w:pStyle w:val="146"/>
                    <w:rPr>
                      <w:color w:val="FF0000"/>
                    </w:rPr>
                  </w:pPr>
                </w:p>
              </w:tc>
            </w:tr>
          </w:tbl>
          <w:p>
            <w:pPr>
              <w:pStyle w:val="33"/>
              <w:ind w:firstLine="482"/>
            </w:pPr>
            <w:r>
              <w:rPr>
                <w:rFonts w:hint="eastAsia"/>
              </w:rPr>
              <w:t>4、</w:t>
            </w:r>
            <w:r>
              <w:t>主要原辅材料消耗</w:t>
            </w:r>
          </w:p>
          <w:p>
            <w:pPr>
              <w:ind w:firstLine="480"/>
              <w:rPr>
                <w:szCs w:val="24"/>
              </w:rPr>
            </w:pPr>
            <w:r>
              <w:rPr>
                <w:rFonts w:hint="eastAsia"/>
                <w:szCs w:val="24"/>
              </w:rPr>
              <w:t>项目运营期间消耗的原辅材料主要有注射器、输液管、医用棉花、纱布、血液采集管、氧气等。各原辅材料消耗情况如表2-3所示：</w:t>
            </w:r>
          </w:p>
          <w:p>
            <w:pPr>
              <w:pStyle w:val="66"/>
            </w:pPr>
            <w:r>
              <w:rPr>
                <w:rFonts w:hint="eastAsia"/>
              </w:rPr>
              <w:t xml:space="preserve">表2-3 </w:t>
            </w:r>
            <w:r>
              <w:t>项目</w:t>
            </w:r>
            <w:r>
              <w:rPr>
                <w:rFonts w:hint="eastAsia"/>
              </w:rPr>
              <w:t>主要医疗用品消耗情况</w:t>
            </w:r>
          </w:p>
          <w:tbl>
            <w:tblPr>
              <w:tblStyle w:val="36"/>
              <w:tblW w:w="836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
            <w:tblGrid>
              <w:gridCol w:w="1128"/>
              <w:gridCol w:w="3732"/>
              <w:gridCol w:w="1148"/>
              <w:gridCol w:w="718"/>
              <w:gridCol w:w="164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jc w:val="center"/>
              </w:trPr>
              <w:tc>
                <w:tcPr>
                  <w:tcW w:w="1128" w:type="dxa"/>
                  <w:tcBorders>
                    <w:tl2br w:val="nil"/>
                    <w:tr2bl w:val="nil"/>
                  </w:tcBorders>
                  <w:vAlign w:val="center"/>
                </w:tcPr>
                <w:p>
                  <w:pPr>
                    <w:pStyle w:val="146"/>
                  </w:pPr>
                  <w:r>
                    <w:rPr>
                      <w:rFonts w:hint="eastAsia"/>
                    </w:rPr>
                    <w:t>类别</w:t>
                  </w:r>
                </w:p>
              </w:tc>
              <w:tc>
                <w:tcPr>
                  <w:tcW w:w="3732" w:type="dxa"/>
                  <w:tcBorders>
                    <w:tl2br w:val="nil"/>
                    <w:tr2bl w:val="nil"/>
                  </w:tcBorders>
                  <w:vAlign w:val="center"/>
                </w:tcPr>
                <w:p>
                  <w:pPr>
                    <w:pStyle w:val="146"/>
                  </w:pPr>
                  <w:r>
                    <w:rPr>
                      <w:rFonts w:hint="eastAsia"/>
                    </w:rPr>
                    <w:t>名称</w:t>
                  </w:r>
                </w:p>
              </w:tc>
              <w:tc>
                <w:tcPr>
                  <w:tcW w:w="1148" w:type="dxa"/>
                  <w:tcBorders>
                    <w:tl2br w:val="nil"/>
                    <w:tr2bl w:val="nil"/>
                  </w:tcBorders>
                  <w:vAlign w:val="center"/>
                </w:tcPr>
                <w:p>
                  <w:pPr>
                    <w:pStyle w:val="146"/>
                  </w:pPr>
                  <w:r>
                    <w:rPr>
                      <w:rFonts w:hint="eastAsia"/>
                    </w:rPr>
                    <w:t>年消耗量</w:t>
                  </w:r>
                </w:p>
              </w:tc>
              <w:tc>
                <w:tcPr>
                  <w:tcW w:w="718" w:type="dxa"/>
                  <w:tcBorders>
                    <w:tl2br w:val="nil"/>
                    <w:tr2bl w:val="nil"/>
                  </w:tcBorders>
                  <w:vAlign w:val="center"/>
                </w:tcPr>
                <w:p>
                  <w:pPr>
                    <w:pStyle w:val="146"/>
                  </w:pPr>
                  <w:r>
                    <w:rPr>
                      <w:rFonts w:hint="eastAsia"/>
                    </w:rPr>
                    <w:t>来源</w:t>
                  </w:r>
                </w:p>
              </w:tc>
              <w:tc>
                <w:tcPr>
                  <w:tcW w:w="1642" w:type="dxa"/>
                  <w:tcBorders>
                    <w:tl2br w:val="nil"/>
                    <w:tr2bl w:val="nil"/>
                  </w:tcBorders>
                  <w:vAlign w:val="center"/>
                </w:tcPr>
                <w:p>
                  <w:pPr>
                    <w:pStyle w:val="146"/>
                  </w:pPr>
                  <w:r>
                    <w:rPr>
                      <w:rFonts w:hint="eastAsia"/>
                    </w:rPr>
                    <w:t>主要化学成分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jc w:val="center"/>
              </w:trPr>
              <w:tc>
                <w:tcPr>
                  <w:tcW w:w="1128" w:type="dxa"/>
                  <w:vMerge w:val="restart"/>
                  <w:tcBorders>
                    <w:tl2br w:val="nil"/>
                    <w:tr2bl w:val="nil"/>
                  </w:tcBorders>
                  <w:vAlign w:val="center"/>
                </w:tcPr>
                <w:p>
                  <w:pPr>
                    <w:pStyle w:val="146"/>
                  </w:pPr>
                  <w:r>
                    <w:rPr>
                      <w:rFonts w:hint="eastAsia"/>
                    </w:rPr>
                    <w:t>医疗器材</w:t>
                  </w:r>
                </w:p>
              </w:tc>
              <w:tc>
                <w:tcPr>
                  <w:tcW w:w="3732" w:type="dxa"/>
                  <w:tcBorders>
                    <w:tl2br w:val="nil"/>
                    <w:tr2bl w:val="nil"/>
                  </w:tcBorders>
                  <w:vAlign w:val="center"/>
                </w:tcPr>
                <w:p>
                  <w:pPr>
                    <w:pStyle w:val="146"/>
                  </w:pPr>
                  <w:r>
                    <w:rPr>
                      <w:rFonts w:hint="eastAsia"/>
                    </w:rPr>
                    <w:t>一次性空针、输液管</w:t>
                  </w:r>
                </w:p>
              </w:tc>
              <w:tc>
                <w:tcPr>
                  <w:tcW w:w="1148" w:type="dxa"/>
                  <w:tcBorders>
                    <w:tl2br w:val="nil"/>
                    <w:tr2bl w:val="nil"/>
                  </w:tcBorders>
                  <w:vAlign w:val="center"/>
                </w:tcPr>
                <w:p>
                  <w:pPr>
                    <w:pStyle w:val="146"/>
                  </w:pPr>
                  <w:r>
                    <w:rPr>
                      <w:rFonts w:hint="eastAsia"/>
                    </w:rPr>
                    <w:t>1万具</w:t>
                  </w:r>
                </w:p>
              </w:tc>
              <w:tc>
                <w:tcPr>
                  <w:tcW w:w="718" w:type="dxa"/>
                  <w:vMerge w:val="restart"/>
                  <w:tcBorders>
                    <w:tl2br w:val="nil"/>
                    <w:tr2bl w:val="nil"/>
                  </w:tcBorders>
                  <w:vAlign w:val="center"/>
                </w:tcPr>
                <w:p>
                  <w:pPr>
                    <w:pStyle w:val="146"/>
                  </w:pPr>
                  <w:r>
                    <w:rPr>
                      <w:rFonts w:hint="eastAsia"/>
                    </w:rPr>
                    <w:t>国产</w:t>
                  </w:r>
                </w:p>
              </w:tc>
              <w:tc>
                <w:tcPr>
                  <w:tcW w:w="1642" w:type="dxa"/>
                  <w:vMerge w:val="restart"/>
                  <w:tcBorders>
                    <w:tl2br w:val="nil"/>
                    <w:tr2bl w:val="nil"/>
                  </w:tcBorders>
                  <w:vAlign w:val="center"/>
                </w:tcPr>
                <w:p>
                  <w:pPr>
                    <w:pStyle w:val="146"/>
                  </w:pPr>
                  <w:r>
                    <w:rPr>
                      <w:rFonts w:hint="eastAsia"/>
                    </w:rPr>
                    <w:t>聚乙烯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jc w:val="center"/>
              </w:trPr>
              <w:tc>
                <w:tcPr>
                  <w:tcW w:w="1128" w:type="dxa"/>
                  <w:vMerge w:val="continue"/>
                  <w:tcBorders>
                    <w:tl2br w:val="nil"/>
                    <w:tr2bl w:val="nil"/>
                  </w:tcBorders>
                  <w:vAlign w:val="center"/>
                </w:tcPr>
                <w:p>
                  <w:pPr>
                    <w:pStyle w:val="146"/>
                  </w:pPr>
                </w:p>
              </w:tc>
              <w:tc>
                <w:tcPr>
                  <w:tcW w:w="3732" w:type="dxa"/>
                  <w:tcBorders>
                    <w:tl2br w:val="nil"/>
                    <w:tr2bl w:val="nil"/>
                  </w:tcBorders>
                  <w:vAlign w:val="center"/>
                </w:tcPr>
                <w:p>
                  <w:pPr>
                    <w:pStyle w:val="146"/>
                  </w:pPr>
                  <w:r>
                    <w:rPr>
                      <w:rFonts w:hint="eastAsia"/>
                    </w:rPr>
                    <w:t>一次性中单、小单</w:t>
                  </w:r>
                </w:p>
              </w:tc>
              <w:tc>
                <w:tcPr>
                  <w:tcW w:w="1148" w:type="dxa"/>
                  <w:tcBorders>
                    <w:tl2br w:val="nil"/>
                    <w:tr2bl w:val="nil"/>
                  </w:tcBorders>
                  <w:vAlign w:val="center"/>
                </w:tcPr>
                <w:p>
                  <w:pPr>
                    <w:pStyle w:val="146"/>
                  </w:pPr>
                  <w:r>
                    <w:rPr>
                      <w:rFonts w:hint="eastAsia"/>
                    </w:rPr>
                    <w:t>1.2万张</w:t>
                  </w:r>
                </w:p>
              </w:tc>
              <w:tc>
                <w:tcPr>
                  <w:tcW w:w="718" w:type="dxa"/>
                  <w:vMerge w:val="continue"/>
                  <w:tcBorders>
                    <w:tl2br w:val="nil"/>
                    <w:tr2bl w:val="nil"/>
                  </w:tcBorders>
                  <w:vAlign w:val="center"/>
                </w:tcPr>
                <w:p>
                  <w:pPr>
                    <w:pStyle w:val="146"/>
                  </w:pPr>
                </w:p>
              </w:tc>
              <w:tc>
                <w:tcPr>
                  <w:tcW w:w="1642" w:type="dxa"/>
                  <w:vMerge w:val="continue"/>
                  <w:tcBorders>
                    <w:tl2br w:val="nil"/>
                    <w:tr2bl w:val="nil"/>
                  </w:tcBorders>
                  <w:vAlign w:val="center"/>
                </w:tcPr>
                <w:p>
                  <w:pPr>
                    <w:pStyle w:val="146"/>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jc w:val="center"/>
              </w:trPr>
              <w:tc>
                <w:tcPr>
                  <w:tcW w:w="1128" w:type="dxa"/>
                  <w:vMerge w:val="continue"/>
                  <w:tcBorders>
                    <w:tl2br w:val="nil"/>
                    <w:tr2bl w:val="nil"/>
                  </w:tcBorders>
                  <w:vAlign w:val="center"/>
                </w:tcPr>
                <w:p>
                  <w:pPr>
                    <w:pStyle w:val="146"/>
                  </w:pPr>
                </w:p>
              </w:tc>
              <w:tc>
                <w:tcPr>
                  <w:tcW w:w="3732" w:type="dxa"/>
                  <w:tcBorders>
                    <w:tl2br w:val="nil"/>
                    <w:tr2bl w:val="nil"/>
                  </w:tcBorders>
                  <w:vAlign w:val="center"/>
                </w:tcPr>
                <w:p>
                  <w:pPr>
                    <w:pStyle w:val="146"/>
                  </w:pPr>
                  <w:r>
                    <w:rPr>
                      <w:rFonts w:hint="eastAsia"/>
                    </w:rPr>
                    <w:t>一次性手套</w:t>
                  </w:r>
                </w:p>
              </w:tc>
              <w:tc>
                <w:tcPr>
                  <w:tcW w:w="1148" w:type="dxa"/>
                  <w:tcBorders>
                    <w:tl2br w:val="nil"/>
                    <w:tr2bl w:val="nil"/>
                  </w:tcBorders>
                  <w:vAlign w:val="center"/>
                </w:tcPr>
                <w:p>
                  <w:pPr>
                    <w:pStyle w:val="146"/>
                  </w:pPr>
                  <w:r>
                    <w:rPr>
                      <w:rFonts w:hint="eastAsia"/>
                    </w:rPr>
                    <w:t>0.5万双</w:t>
                  </w:r>
                </w:p>
              </w:tc>
              <w:tc>
                <w:tcPr>
                  <w:tcW w:w="718" w:type="dxa"/>
                  <w:vMerge w:val="continue"/>
                  <w:tcBorders>
                    <w:tl2br w:val="nil"/>
                    <w:tr2bl w:val="nil"/>
                  </w:tcBorders>
                  <w:vAlign w:val="center"/>
                </w:tcPr>
                <w:p>
                  <w:pPr>
                    <w:pStyle w:val="146"/>
                  </w:pPr>
                </w:p>
              </w:tc>
              <w:tc>
                <w:tcPr>
                  <w:tcW w:w="1642" w:type="dxa"/>
                  <w:vMerge w:val="continue"/>
                  <w:tcBorders>
                    <w:tl2br w:val="nil"/>
                    <w:tr2bl w:val="nil"/>
                  </w:tcBorders>
                  <w:vAlign w:val="center"/>
                </w:tcPr>
                <w:p>
                  <w:pPr>
                    <w:pStyle w:val="146"/>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jc w:val="center"/>
              </w:trPr>
              <w:tc>
                <w:tcPr>
                  <w:tcW w:w="1128" w:type="dxa"/>
                  <w:vMerge w:val="continue"/>
                  <w:tcBorders>
                    <w:tl2br w:val="nil"/>
                    <w:tr2bl w:val="nil"/>
                  </w:tcBorders>
                  <w:vAlign w:val="center"/>
                </w:tcPr>
                <w:p>
                  <w:pPr>
                    <w:pStyle w:val="146"/>
                  </w:pPr>
                </w:p>
              </w:tc>
              <w:tc>
                <w:tcPr>
                  <w:tcW w:w="3732" w:type="dxa"/>
                  <w:tcBorders>
                    <w:tl2br w:val="nil"/>
                    <w:tr2bl w:val="nil"/>
                  </w:tcBorders>
                  <w:vAlign w:val="center"/>
                </w:tcPr>
                <w:p>
                  <w:pPr>
                    <w:pStyle w:val="146"/>
                  </w:pPr>
                  <w:r>
                    <w:rPr>
                      <w:rFonts w:hint="eastAsia"/>
                    </w:rPr>
                    <w:t>一次性尿带、尿管</w:t>
                  </w:r>
                </w:p>
              </w:tc>
              <w:tc>
                <w:tcPr>
                  <w:tcW w:w="1148" w:type="dxa"/>
                  <w:tcBorders>
                    <w:tl2br w:val="nil"/>
                    <w:tr2bl w:val="nil"/>
                  </w:tcBorders>
                  <w:vAlign w:val="center"/>
                </w:tcPr>
                <w:p>
                  <w:pPr>
                    <w:pStyle w:val="146"/>
                  </w:pPr>
                  <w:r>
                    <w:rPr>
                      <w:rFonts w:hint="eastAsia"/>
                    </w:rPr>
                    <w:t>0.1万套</w:t>
                  </w:r>
                </w:p>
              </w:tc>
              <w:tc>
                <w:tcPr>
                  <w:tcW w:w="718" w:type="dxa"/>
                  <w:vMerge w:val="continue"/>
                  <w:tcBorders>
                    <w:tl2br w:val="nil"/>
                    <w:tr2bl w:val="nil"/>
                  </w:tcBorders>
                  <w:vAlign w:val="center"/>
                </w:tcPr>
                <w:p>
                  <w:pPr>
                    <w:pStyle w:val="146"/>
                  </w:pPr>
                </w:p>
              </w:tc>
              <w:tc>
                <w:tcPr>
                  <w:tcW w:w="1642" w:type="dxa"/>
                  <w:vMerge w:val="continue"/>
                  <w:tcBorders>
                    <w:tl2br w:val="nil"/>
                    <w:tr2bl w:val="nil"/>
                  </w:tcBorders>
                  <w:vAlign w:val="center"/>
                </w:tcPr>
                <w:p>
                  <w:pPr>
                    <w:pStyle w:val="146"/>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jc w:val="center"/>
              </w:trPr>
              <w:tc>
                <w:tcPr>
                  <w:tcW w:w="1128" w:type="dxa"/>
                  <w:vMerge w:val="restart"/>
                  <w:tcBorders>
                    <w:tl2br w:val="nil"/>
                    <w:tr2bl w:val="nil"/>
                  </w:tcBorders>
                  <w:vAlign w:val="center"/>
                </w:tcPr>
                <w:p>
                  <w:pPr>
                    <w:pStyle w:val="146"/>
                  </w:pPr>
                  <w:r>
                    <w:rPr>
                      <w:rFonts w:hint="eastAsia"/>
                    </w:rPr>
                    <w:t>药品</w:t>
                  </w:r>
                </w:p>
              </w:tc>
              <w:tc>
                <w:tcPr>
                  <w:tcW w:w="3732" w:type="dxa"/>
                  <w:tcBorders>
                    <w:tl2br w:val="nil"/>
                    <w:tr2bl w:val="nil"/>
                  </w:tcBorders>
                  <w:vAlign w:val="center"/>
                </w:tcPr>
                <w:p>
                  <w:pPr>
                    <w:pStyle w:val="146"/>
                  </w:pPr>
                  <w:r>
                    <w:rPr>
                      <w:rFonts w:hint="eastAsia"/>
                    </w:rPr>
                    <w:t>针剂药品</w:t>
                  </w:r>
                </w:p>
              </w:tc>
              <w:tc>
                <w:tcPr>
                  <w:tcW w:w="1148" w:type="dxa"/>
                  <w:tcBorders>
                    <w:tl2br w:val="nil"/>
                    <w:tr2bl w:val="nil"/>
                  </w:tcBorders>
                  <w:vAlign w:val="center"/>
                </w:tcPr>
                <w:p>
                  <w:pPr>
                    <w:pStyle w:val="146"/>
                  </w:pPr>
                  <w:r>
                    <w:rPr>
                      <w:rFonts w:hint="eastAsia"/>
                    </w:rPr>
                    <w:t>0.2万支</w:t>
                  </w:r>
                </w:p>
              </w:tc>
              <w:tc>
                <w:tcPr>
                  <w:tcW w:w="718" w:type="dxa"/>
                  <w:tcBorders>
                    <w:tl2br w:val="nil"/>
                    <w:tr2bl w:val="nil"/>
                  </w:tcBorders>
                  <w:vAlign w:val="center"/>
                </w:tcPr>
                <w:p>
                  <w:pPr>
                    <w:pStyle w:val="146"/>
                  </w:pPr>
                  <w:r>
                    <w:rPr>
                      <w:rFonts w:hint="eastAsia"/>
                    </w:rPr>
                    <w:t>国产</w:t>
                  </w:r>
                </w:p>
              </w:tc>
              <w:tc>
                <w:tcPr>
                  <w:tcW w:w="1642" w:type="dxa"/>
                  <w:tcBorders>
                    <w:tl2br w:val="nil"/>
                    <w:tr2bl w:val="nil"/>
                  </w:tcBorders>
                  <w:vAlign w:val="center"/>
                </w:tcPr>
                <w:p>
                  <w:pPr>
                    <w:pStyle w:val="14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jc w:val="center"/>
              </w:trPr>
              <w:tc>
                <w:tcPr>
                  <w:tcW w:w="1128" w:type="dxa"/>
                  <w:vMerge w:val="continue"/>
                  <w:tcBorders>
                    <w:tl2br w:val="nil"/>
                    <w:tr2bl w:val="nil"/>
                  </w:tcBorders>
                  <w:vAlign w:val="center"/>
                </w:tcPr>
                <w:p>
                  <w:pPr>
                    <w:pStyle w:val="146"/>
                  </w:pPr>
                </w:p>
              </w:tc>
              <w:tc>
                <w:tcPr>
                  <w:tcW w:w="3732" w:type="dxa"/>
                  <w:tcBorders>
                    <w:tl2br w:val="nil"/>
                    <w:tr2bl w:val="nil"/>
                  </w:tcBorders>
                  <w:vAlign w:val="center"/>
                </w:tcPr>
                <w:p>
                  <w:pPr>
                    <w:pStyle w:val="146"/>
                  </w:pPr>
                  <w:r>
                    <w:rPr>
                      <w:rFonts w:hint="eastAsia"/>
                    </w:rPr>
                    <w:t>口服药剂</w:t>
                  </w:r>
                </w:p>
              </w:tc>
              <w:tc>
                <w:tcPr>
                  <w:tcW w:w="1148" w:type="dxa"/>
                  <w:tcBorders>
                    <w:tl2br w:val="nil"/>
                    <w:tr2bl w:val="nil"/>
                  </w:tcBorders>
                  <w:vAlign w:val="center"/>
                </w:tcPr>
                <w:p>
                  <w:pPr>
                    <w:pStyle w:val="146"/>
                  </w:pPr>
                  <w:r>
                    <w:rPr>
                      <w:rFonts w:hint="eastAsia"/>
                    </w:rPr>
                    <w:t>0.5万盒</w:t>
                  </w:r>
                </w:p>
              </w:tc>
              <w:tc>
                <w:tcPr>
                  <w:tcW w:w="718" w:type="dxa"/>
                  <w:tcBorders>
                    <w:tl2br w:val="nil"/>
                    <w:tr2bl w:val="nil"/>
                  </w:tcBorders>
                  <w:vAlign w:val="center"/>
                </w:tcPr>
                <w:p>
                  <w:pPr>
                    <w:pStyle w:val="146"/>
                  </w:pPr>
                  <w:r>
                    <w:rPr>
                      <w:rFonts w:hint="eastAsia"/>
                    </w:rPr>
                    <w:t>国产</w:t>
                  </w:r>
                </w:p>
              </w:tc>
              <w:tc>
                <w:tcPr>
                  <w:tcW w:w="1642" w:type="dxa"/>
                  <w:tcBorders>
                    <w:tl2br w:val="nil"/>
                    <w:tr2bl w:val="nil"/>
                  </w:tcBorders>
                  <w:vAlign w:val="center"/>
                </w:tcPr>
                <w:p>
                  <w:pPr>
                    <w:pStyle w:val="14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228" w:hRule="atLeast"/>
                <w:jc w:val="center"/>
              </w:trPr>
              <w:tc>
                <w:tcPr>
                  <w:tcW w:w="1128" w:type="dxa"/>
                  <w:vMerge w:val="continue"/>
                  <w:tcBorders>
                    <w:tl2br w:val="nil"/>
                    <w:tr2bl w:val="nil"/>
                  </w:tcBorders>
                  <w:vAlign w:val="center"/>
                </w:tcPr>
                <w:p>
                  <w:pPr>
                    <w:pStyle w:val="146"/>
                  </w:pPr>
                </w:p>
              </w:tc>
              <w:tc>
                <w:tcPr>
                  <w:tcW w:w="3732" w:type="dxa"/>
                  <w:tcBorders>
                    <w:tl2br w:val="nil"/>
                    <w:tr2bl w:val="nil"/>
                  </w:tcBorders>
                  <w:vAlign w:val="center"/>
                </w:tcPr>
                <w:p>
                  <w:pPr>
                    <w:pStyle w:val="146"/>
                  </w:pPr>
                  <w:r>
                    <w:rPr>
                      <w:rFonts w:hint="eastAsia"/>
                    </w:rPr>
                    <w:t>普通方剂用药</w:t>
                  </w:r>
                </w:p>
              </w:tc>
              <w:tc>
                <w:tcPr>
                  <w:tcW w:w="1148" w:type="dxa"/>
                  <w:tcBorders>
                    <w:tl2br w:val="nil"/>
                    <w:tr2bl w:val="nil"/>
                  </w:tcBorders>
                  <w:vAlign w:val="center"/>
                </w:tcPr>
                <w:p>
                  <w:pPr>
                    <w:pStyle w:val="146"/>
                  </w:pPr>
                  <w:r>
                    <w:rPr>
                      <w:rFonts w:hint="eastAsia"/>
                    </w:rPr>
                    <w:t>70千克</w:t>
                  </w:r>
                </w:p>
              </w:tc>
              <w:tc>
                <w:tcPr>
                  <w:tcW w:w="718" w:type="dxa"/>
                  <w:tcBorders>
                    <w:tl2br w:val="nil"/>
                    <w:tr2bl w:val="nil"/>
                  </w:tcBorders>
                  <w:vAlign w:val="center"/>
                </w:tcPr>
                <w:p>
                  <w:pPr>
                    <w:pStyle w:val="146"/>
                  </w:pPr>
                  <w:r>
                    <w:rPr>
                      <w:rFonts w:hint="eastAsia"/>
                    </w:rPr>
                    <w:t>国产</w:t>
                  </w:r>
                </w:p>
              </w:tc>
              <w:tc>
                <w:tcPr>
                  <w:tcW w:w="1642" w:type="dxa"/>
                  <w:tcBorders>
                    <w:tl2br w:val="nil"/>
                    <w:tr2bl w:val="nil"/>
                  </w:tcBorders>
                  <w:vAlign w:val="center"/>
                </w:tcPr>
                <w:p>
                  <w:pPr>
                    <w:pStyle w:val="14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132" w:hRule="atLeast"/>
                <w:jc w:val="center"/>
              </w:trPr>
              <w:tc>
                <w:tcPr>
                  <w:tcW w:w="1128" w:type="dxa"/>
                  <w:vMerge w:val="continue"/>
                  <w:tcBorders>
                    <w:tl2br w:val="nil"/>
                    <w:tr2bl w:val="nil"/>
                  </w:tcBorders>
                  <w:vAlign w:val="center"/>
                </w:tcPr>
                <w:p>
                  <w:pPr>
                    <w:pStyle w:val="146"/>
                  </w:pPr>
                </w:p>
              </w:tc>
              <w:tc>
                <w:tcPr>
                  <w:tcW w:w="3732" w:type="dxa"/>
                  <w:tcBorders>
                    <w:tl2br w:val="nil"/>
                    <w:tr2bl w:val="nil"/>
                  </w:tcBorders>
                  <w:vAlign w:val="center"/>
                </w:tcPr>
                <w:p>
                  <w:pPr>
                    <w:pStyle w:val="146"/>
                  </w:pPr>
                  <w:r>
                    <w:rPr>
                      <w:rFonts w:hint="eastAsia"/>
                    </w:rPr>
                    <w:t>中药材</w:t>
                  </w:r>
                </w:p>
              </w:tc>
              <w:tc>
                <w:tcPr>
                  <w:tcW w:w="1148" w:type="dxa"/>
                  <w:tcBorders>
                    <w:tl2br w:val="nil"/>
                    <w:tr2bl w:val="nil"/>
                  </w:tcBorders>
                  <w:vAlign w:val="center"/>
                </w:tcPr>
                <w:p>
                  <w:pPr>
                    <w:pStyle w:val="146"/>
                  </w:pPr>
                  <w:r>
                    <w:rPr>
                      <w:rFonts w:hint="eastAsia"/>
                    </w:rPr>
                    <w:t>0.2吨</w:t>
                  </w:r>
                </w:p>
              </w:tc>
              <w:tc>
                <w:tcPr>
                  <w:tcW w:w="718" w:type="dxa"/>
                  <w:tcBorders>
                    <w:tl2br w:val="nil"/>
                    <w:tr2bl w:val="nil"/>
                  </w:tcBorders>
                  <w:vAlign w:val="center"/>
                </w:tcPr>
                <w:p>
                  <w:pPr>
                    <w:pStyle w:val="146"/>
                  </w:pPr>
                  <w:r>
                    <w:rPr>
                      <w:rFonts w:hint="eastAsia"/>
                    </w:rPr>
                    <w:t>国产</w:t>
                  </w:r>
                </w:p>
              </w:tc>
              <w:tc>
                <w:tcPr>
                  <w:tcW w:w="1642" w:type="dxa"/>
                  <w:tcBorders>
                    <w:tl2br w:val="nil"/>
                    <w:tr2bl w:val="nil"/>
                  </w:tcBorders>
                  <w:vAlign w:val="center"/>
                </w:tcPr>
                <w:p>
                  <w:pPr>
                    <w:pStyle w:val="146"/>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365" w:hRule="atLeast"/>
                <w:jc w:val="center"/>
              </w:trPr>
              <w:tc>
                <w:tcPr>
                  <w:tcW w:w="1128" w:type="dxa"/>
                  <w:vMerge w:val="restart"/>
                  <w:tcBorders>
                    <w:tl2br w:val="nil"/>
                    <w:tr2bl w:val="nil"/>
                  </w:tcBorders>
                  <w:vAlign w:val="center"/>
                </w:tcPr>
                <w:p>
                  <w:pPr>
                    <w:pStyle w:val="146"/>
                  </w:pPr>
                  <w:r>
                    <w:rPr>
                      <w:rFonts w:hint="eastAsia"/>
                    </w:rPr>
                    <w:t>消毒剂</w:t>
                  </w:r>
                </w:p>
              </w:tc>
              <w:tc>
                <w:tcPr>
                  <w:tcW w:w="3732" w:type="dxa"/>
                  <w:tcBorders>
                    <w:tl2br w:val="nil"/>
                    <w:tr2bl w:val="nil"/>
                  </w:tcBorders>
                  <w:vAlign w:val="center"/>
                </w:tcPr>
                <w:p>
                  <w:pPr>
                    <w:pStyle w:val="146"/>
                    <w:rPr>
                      <w:szCs w:val="21"/>
                    </w:rPr>
                  </w:pPr>
                  <w:r>
                    <w:rPr>
                      <w:rFonts w:hint="eastAsia"/>
                      <w:szCs w:val="21"/>
                    </w:rPr>
                    <w:t>乙醇</w:t>
                  </w:r>
                </w:p>
              </w:tc>
              <w:tc>
                <w:tcPr>
                  <w:tcW w:w="1148" w:type="dxa"/>
                  <w:tcBorders>
                    <w:tl2br w:val="nil"/>
                    <w:tr2bl w:val="nil"/>
                  </w:tcBorders>
                  <w:vAlign w:val="center"/>
                </w:tcPr>
                <w:p>
                  <w:pPr>
                    <w:pStyle w:val="146"/>
                  </w:pPr>
                  <w:r>
                    <w:rPr>
                      <w:rFonts w:hint="eastAsia"/>
                    </w:rPr>
                    <w:t>0.1吨</w:t>
                  </w:r>
                </w:p>
              </w:tc>
              <w:tc>
                <w:tcPr>
                  <w:tcW w:w="718" w:type="dxa"/>
                  <w:tcBorders>
                    <w:tl2br w:val="nil"/>
                    <w:tr2bl w:val="nil"/>
                  </w:tcBorders>
                  <w:vAlign w:val="center"/>
                </w:tcPr>
                <w:p>
                  <w:pPr>
                    <w:pStyle w:val="146"/>
                  </w:pPr>
                  <w:r>
                    <w:rPr>
                      <w:rFonts w:hint="eastAsia"/>
                    </w:rPr>
                    <w:t>国产</w:t>
                  </w:r>
                </w:p>
              </w:tc>
              <w:tc>
                <w:tcPr>
                  <w:tcW w:w="1642" w:type="dxa"/>
                  <w:tcBorders>
                    <w:tl2br w:val="nil"/>
                    <w:tr2bl w:val="nil"/>
                  </w:tcBorders>
                  <w:vAlign w:val="center"/>
                </w:tcPr>
                <w:p>
                  <w:pPr>
                    <w:pStyle w:val="14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161" w:hRule="atLeast"/>
                <w:jc w:val="center"/>
              </w:trPr>
              <w:tc>
                <w:tcPr>
                  <w:tcW w:w="1128" w:type="dxa"/>
                  <w:vMerge w:val="continue"/>
                  <w:tcBorders>
                    <w:tl2br w:val="nil"/>
                    <w:tr2bl w:val="nil"/>
                  </w:tcBorders>
                  <w:vAlign w:val="center"/>
                </w:tcPr>
                <w:p>
                  <w:pPr>
                    <w:pStyle w:val="146"/>
                  </w:pPr>
                </w:p>
              </w:tc>
              <w:tc>
                <w:tcPr>
                  <w:tcW w:w="3732" w:type="dxa"/>
                  <w:tcBorders>
                    <w:tl2br w:val="nil"/>
                    <w:tr2bl w:val="nil"/>
                  </w:tcBorders>
                  <w:vAlign w:val="center"/>
                </w:tcPr>
                <w:p>
                  <w:pPr>
                    <w:pStyle w:val="146"/>
                    <w:rPr>
                      <w:szCs w:val="21"/>
                    </w:rPr>
                  </w:pPr>
                  <w:r>
                    <w:rPr>
                      <w:rFonts w:hint="eastAsia"/>
                      <w:szCs w:val="21"/>
                    </w:rPr>
                    <w:t>次氯酸钠</w:t>
                  </w:r>
                </w:p>
              </w:tc>
              <w:tc>
                <w:tcPr>
                  <w:tcW w:w="1148" w:type="dxa"/>
                  <w:tcBorders>
                    <w:tl2br w:val="nil"/>
                    <w:tr2bl w:val="nil"/>
                  </w:tcBorders>
                  <w:vAlign w:val="center"/>
                </w:tcPr>
                <w:p>
                  <w:pPr>
                    <w:pStyle w:val="146"/>
                  </w:pPr>
                  <w:r>
                    <w:rPr>
                      <w:rFonts w:hint="eastAsia"/>
                    </w:rPr>
                    <w:t>0.05吨</w:t>
                  </w:r>
                </w:p>
              </w:tc>
              <w:tc>
                <w:tcPr>
                  <w:tcW w:w="718" w:type="dxa"/>
                  <w:tcBorders>
                    <w:tl2br w:val="nil"/>
                    <w:tr2bl w:val="nil"/>
                  </w:tcBorders>
                  <w:vAlign w:val="center"/>
                </w:tcPr>
                <w:p>
                  <w:pPr>
                    <w:pStyle w:val="146"/>
                  </w:pPr>
                  <w:r>
                    <w:rPr>
                      <w:rFonts w:hint="eastAsia"/>
                    </w:rPr>
                    <w:t>国产</w:t>
                  </w:r>
                </w:p>
              </w:tc>
              <w:tc>
                <w:tcPr>
                  <w:tcW w:w="1642" w:type="dxa"/>
                  <w:tcBorders>
                    <w:tl2br w:val="nil"/>
                    <w:tr2bl w:val="nil"/>
                  </w:tcBorders>
                  <w:vAlign w:val="center"/>
                </w:tcPr>
                <w:p>
                  <w:pPr>
                    <w:pStyle w:val="14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415" w:hRule="atLeast"/>
                <w:jc w:val="center"/>
              </w:trPr>
              <w:tc>
                <w:tcPr>
                  <w:tcW w:w="1128" w:type="dxa"/>
                  <w:vMerge w:val="continue"/>
                  <w:tcBorders>
                    <w:tl2br w:val="nil"/>
                    <w:tr2bl w:val="nil"/>
                  </w:tcBorders>
                  <w:vAlign w:val="center"/>
                </w:tcPr>
                <w:p>
                  <w:pPr>
                    <w:pStyle w:val="146"/>
                  </w:pPr>
                </w:p>
              </w:tc>
              <w:tc>
                <w:tcPr>
                  <w:tcW w:w="3732" w:type="dxa"/>
                  <w:tcBorders>
                    <w:tl2br w:val="nil"/>
                    <w:tr2bl w:val="nil"/>
                  </w:tcBorders>
                  <w:vAlign w:val="center"/>
                </w:tcPr>
                <w:p>
                  <w:pPr>
                    <w:pStyle w:val="146"/>
                    <w:rPr>
                      <w:szCs w:val="21"/>
                    </w:rPr>
                  </w:pPr>
                  <w:r>
                    <w:rPr>
                      <w:rFonts w:hint="eastAsia"/>
                      <w:szCs w:val="21"/>
                    </w:rPr>
                    <w:t>优氯净及空气消毒剂</w:t>
                  </w:r>
                </w:p>
              </w:tc>
              <w:tc>
                <w:tcPr>
                  <w:tcW w:w="1148" w:type="dxa"/>
                  <w:tcBorders>
                    <w:tl2br w:val="nil"/>
                    <w:tr2bl w:val="nil"/>
                  </w:tcBorders>
                  <w:vAlign w:val="center"/>
                </w:tcPr>
                <w:p>
                  <w:pPr>
                    <w:pStyle w:val="146"/>
                  </w:pPr>
                  <w:r>
                    <w:rPr>
                      <w:rFonts w:hint="eastAsia"/>
                    </w:rPr>
                    <w:t>0.05吨</w:t>
                  </w:r>
                </w:p>
              </w:tc>
              <w:tc>
                <w:tcPr>
                  <w:tcW w:w="718" w:type="dxa"/>
                  <w:tcBorders>
                    <w:tl2br w:val="nil"/>
                    <w:tr2bl w:val="nil"/>
                  </w:tcBorders>
                  <w:vAlign w:val="center"/>
                </w:tcPr>
                <w:p>
                  <w:pPr>
                    <w:pStyle w:val="146"/>
                  </w:pPr>
                  <w:r>
                    <w:rPr>
                      <w:rFonts w:hint="eastAsia"/>
                    </w:rPr>
                    <w:t>国产</w:t>
                  </w:r>
                </w:p>
              </w:tc>
              <w:tc>
                <w:tcPr>
                  <w:tcW w:w="1642" w:type="dxa"/>
                  <w:tcBorders>
                    <w:tl2br w:val="nil"/>
                    <w:tr2bl w:val="nil"/>
                  </w:tcBorders>
                  <w:vAlign w:val="center"/>
                </w:tcPr>
                <w:p>
                  <w:pPr>
                    <w:pStyle w:val="146"/>
                  </w:pPr>
                  <w:r>
                    <w:rPr>
                      <w:rFonts w:hint="eastAsia"/>
                    </w:rPr>
                    <w:t>/</w:t>
                  </w:r>
                </w:p>
              </w:tc>
            </w:tr>
          </w:tbl>
          <w:p>
            <w:pPr>
              <w:widowControl/>
              <w:ind w:firstLine="482"/>
              <w:jc w:val="left"/>
            </w:pPr>
            <w:r>
              <w:rPr>
                <w:rFonts w:eastAsia="宋体" w:cs="Times New Roman"/>
                <w:b/>
                <w:kern w:val="0"/>
                <w:szCs w:val="24"/>
                <w:lang w:bidi="ar"/>
              </w:rPr>
              <w:t>5</w:t>
            </w:r>
            <w:r>
              <w:rPr>
                <w:rFonts w:hint="eastAsia" w:ascii="宋体" w:hAnsi="宋体" w:eastAsia="宋体" w:cs="宋体"/>
                <w:b/>
                <w:kern w:val="0"/>
                <w:szCs w:val="24"/>
                <w:lang w:bidi="ar"/>
              </w:rPr>
              <w:t xml:space="preserve">、公用工程 </w:t>
            </w:r>
          </w:p>
          <w:p>
            <w:pPr>
              <w:widowControl/>
              <w:ind w:firstLine="482"/>
              <w:jc w:val="left"/>
            </w:pPr>
            <w:r>
              <w:rPr>
                <w:rFonts w:hint="eastAsia" w:ascii="宋体" w:hAnsi="宋体" w:eastAsia="宋体" w:cs="宋体"/>
                <w:b/>
                <w:kern w:val="0"/>
                <w:szCs w:val="24"/>
                <w:lang w:bidi="ar"/>
              </w:rPr>
              <w:t>（</w:t>
            </w:r>
            <w:r>
              <w:rPr>
                <w:rFonts w:eastAsia="宋体" w:cs="Times New Roman"/>
                <w:b/>
                <w:kern w:val="0"/>
                <w:szCs w:val="24"/>
                <w:lang w:bidi="ar"/>
              </w:rPr>
              <w:t>1</w:t>
            </w:r>
            <w:r>
              <w:rPr>
                <w:rFonts w:hint="eastAsia" w:ascii="宋体" w:hAnsi="宋体" w:eastAsia="宋体" w:cs="宋体"/>
                <w:b/>
                <w:kern w:val="0"/>
                <w:szCs w:val="24"/>
                <w:lang w:bidi="ar"/>
              </w:rPr>
              <w:t xml:space="preserve">）给排水 </w:t>
            </w:r>
          </w:p>
          <w:p>
            <w:pPr>
              <w:widowControl/>
              <w:ind w:firstLine="480"/>
              <w:jc w:val="left"/>
            </w:pPr>
            <w:r>
              <w:rPr>
                <w:rFonts w:hint="eastAsia" w:ascii="宋体" w:hAnsi="宋体" w:eastAsia="宋体" w:cs="宋体"/>
                <w:kern w:val="0"/>
                <w:szCs w:val="24"/>
                <w:lang w:bidi="ar"/>
              </w:rPr>
              <w:t xml:space="preserve">给水：由下新屯村委会自来水管网供给。 </w:t>
            </w:r>
          </w:p>
          <w:p>
            <w:pPr>
              <w:widowControl/>
              <w:ind w:firstLine="480"/>
              <w:jc w:val="left"/>
            </w:pPr>
            <w:r>
              <w:rPr>
                <w:rFonts w:hint="eastAsia" w:ascii="宋体" w:hAnsi="宋体" w:eastAsia="宋体" w:cs="宋体"/>
                <w:kern w:val="0"/>
                <w:szCs w:val="24"/>
                <w:lang w:bidi="ar"/>
              </w:rPr>
              <w:t>排水：</w:t>
            </w:r>
            <w:r>
              <w:t>项目实行雨污分流制，</w:t>
            </w:r>
            <w:r>
              <w:rPr>
                <w:rFonts w:hint="eastAsia"/>
              </w:rPr>
              <w:t>雨水通过院内雨水沟排入院外道路排水沟。</w:t>
            </w:r>
          </w:p>
          <w:p>
            <w:pPr>
              <w:widowControl/>
              <w:ind w:firstLine="482"/>
              <w:jc w:val="left"/>
              <w:rPr>
                <w:color w:val="FF0000"/>
              </w:rPr>
            </w:pPr>
            <w:r>
              <w:rPr>
                <w:rFonts w:hint="eastAsia"/>
                <w:b/>
                <w:bCs/>
                <w:color w:val="FF0000"/>
              </w:rPr>
              <w:t>姚安县城镇污水管网建到下新屯村委会前</w:t>
            </w:r>
            <w:r>
              <w:rPr>
                <w:rFonts w:hint="eastAsia"/>
                <w:color w:val="FF0000"/>
              </w:rPr>
              <w:t>，项目食堂产生含油废水经隔油池隔油处理后汇入下水道并拢其他生活废水，与医疗废水一并</w:t>
            </w:r>
            <w:r>
              <w:rPr>
                <w:color w:val="FF0000"/>
              </w:rPr>
              <w:t>排入</w:t>
            </w:r>
            <w:r>
              <w:rPr>
                <w:rFonts w:hint="eastAsia"/>
                <w:color w:val="FF0000"/>
              </w:rPr>
              <w:t>化粪池进行预处理</w:t>
            </w:r>
            <w:r>
              <w:rPr>
                <w:color w:val="FF0000"/>
              </w:rPr>
              <w:t>，</w:t>
            </w:r>
            <w:r>
              <w:rPr>
                <w:rFonts w:hint="eastAsia"/>
                <w:color w:val="FF0000"/>
              </w:rPr>
              <w:t>再</w:t>
            </w:r>
            <w:r>
              <w:rPr>
                <w:color w:val="FF0000"/>
              </w:rPr>
              <w:t>排入</w:t>
            </w:r>
            <w:r>
              <w:rPr>
                <w:rFonts w:hint="eastAsia"/>
                <w:color w:val="FF0000"/>
              </w:rPr>
              <w:t>项目自建的一体化污水处理站处理达《医疗机构水污染物排放标准》GB18466-2005表2中排放标准后，排入项目东侧农灌沟，最终进入蜻蛉河；</w:t>
            </w:r>
            <w:r>
              <w:rPr>
                <w:rFonts w:hint="eastAsia"/>
                <w:b/>
                <w:bCs/>
                <w:color w:val="FF0000"/>
              </w:rPr>
              <w:t>姚安县城镇污水管网建到下新屯村委会后</w:t>
            </w:r>
            <w:r>
              <w:rPr>
                <w:rFonts w:hint="eastAsia"/>
                <w:color w:val="FF0000"/>
              </w:rPr>
              <w:t>，项目食堂产生含油废水经隔油池隔油处理后汇入下水道并拢其他生活废水，与医疗废水一并</w:t>
            </w:r>
            <w:r>
              <w:rPr>
                <w:color w:val="FF0000"/>
              </w:rPr>
              <w:t>排入</w:t>
            </w:r>
            <w:r>
              <w:rPr>
                <w:rFonts w:hint="eastAsia"/>
                <w:color w:val="FF0000"/>
              </w:rPr>
              <w:t>化粪池进行预处理</w:t>
            </w:r>
            <w:r>
              <w:rPr>
                <w:color w:val="FF0000"/>
              </w:rPr>
              <w:t>，</w:t>
            </w:r>
            <w:r>
              <w:rPr>
                <w:rFonts w:hint="eastAsia"/>
                <w:color w:val="FF0000"/>
              </w:rPr>
              <w:t>再</w:t>
            </w:r>
            <w:r>
              <w:rPr>
                <w:color w:val="FF0000"/>
              </w:rPr>
              <w:t>排入</w:t>
            </w:r>
            <w:r>
              <w:rPr>
                <w:rFonts w:hint="eastAsia"/>
                <w:color w:val="FF0000"/>
              </w:rPr>
              <w:t>项目自建的一体化污水处理站处理达</w:t>
            </w:r>
            <w:r>
              <w:rPr>
                <w:rFonts w:hint="eastAsia" w:cs="Times New Roman"/>
                <w:color w:val="FF0000"/>
              </w:rPr>
              <w:t>《医疗机构水污染物排放标准》GB18466-2005表2中预处理标准和《污水排入城镇下水道水质标准》（</w:t>
            </w:r>
            <w:r>
              <w:rPr>
                <w:rFonts w:cs="Times New Roman"/>
                <w:color w:val="FF0000"/>
              </w:rPr>
              <w:t>GB/T31962-2015</w:t>
            </w:r>
            <w:r>
              <w:rPr>
                <w:rFonts w:hint="eastAsia" w:cs="Times New Roman"/>
                <w:color w:val="FF0000"/>
              </w:rPr>
              <w:t>）表</w:t>
            </w:r>
            <w:r>
              <w:rPr>
                <w:rFonts w:cs="Times New Roman"/>
                <w:color w:val="FF0000"/>
              </w:rPr>
              <w:t>1</w:t>
            </w:r>
            <w:r>
              <w:rPr>
                <w:rFonts w:hint="eastAsia" w:cs="Times New Roman"/>
                <w:color w:val="FF0000"/>
              </w:rPr>
              <w:t>（</w:t>
            </w:r>
            <w:r>
              <w:rPr>
                <w:rFonts w:cs="Times New Roman"/>
                <w:color w:val="FF0000"/>
              </w:rPr>
              <w:t xml:space="preserve">A </w:t>
            </w:r>
            <w:r>
              <w:rPr>
                <w:rFonts w:hint="eastAsia" w:cs="Times New Roman"/>
                <w:color w:val="FF0000"/>
              </w:rPr>
              <w:t>等级）标准后，排入姚安县污水管网，最终进入姚安县污水处理厂统一处理</w:t>
            </w:r>
            <w:r>
              <w:rPr>
                <w:rFonts w:hint="eastAsia"/>
                <w:color w:val="FF0000"/>
              </w:rPr>
              <w:t>。</w:t>
            </w:r>
            <w:r>
              <w:rPr>
                <w:rFonts w:hint="eastAsia" w:ascii="宋体" w:hAnsi="宋体" w:eastAsia="宋体" w:cs="宋体"/>
                <w:color w:val="FF0000"/>
                <w:kern w:val="0"/>
                <w:szCs w:val="24"/>
                <w:lang w:bidi="ar"/>
              </w:rPr>
              <w:t xml:space="preserve"> </w:t>
            </w:r>
          </w:p>
          <w:p>
            <w:pPr>
              <w:widowControl/>
              <w:ind w:firstLine="482"/>
              <w:jc w:val="left"/>
            </w:pPr>
            <w:r>
              <w:rPr>
                <w:rFonts w:hint="eastAsia" w:ascii="宋体" w:hAnsi="宋体" w:eastAsia="宋体" w:cs="宋体"/>
                <w:b/>
                <w:kern w:val="0"/>
                <w:szCs w:val="24"/>
                <w:lang w:bidi="ar"/>
              </w:rPr>
              <w:t>（</w:t>
            </w:r>
            <w:r>
              <w:rPr>
                <w:rFonts w:eastAsia="宋体" w:cs="Times New Roman"/>
                <w:b/>
                <w:kern w:val="0"/>
                <w:szCs w:val="24"/>
                <w:lang w:bidi="ar"/>
              </w:rPr>
              <w:t>2</w:t>
            </w:r>
            <w:r>
              <w:rPr>
                <w:rFonts w:hint="eastAsia" w:ascii="宋体" w:hAnsi="宋体" w:eastAsia="宋体" w:cs="宋体"/>
                <w:b/>
                <w:kern w:val="0"/>
                <w:szCs w:val="24"/>
                <w:lang w:bidi="ar"/>
              </w:rPr>
              <w:t xml:space="preserve">）供电系统 </w:t>
            </w:r>
          </w:p>
          <w:p>
            <w:pPr>
              <w:widowControl/>
              <w:ind w:firstLine="480"/>
              <w:jc w:val="left"/>
            </w:pPr>
            <w:r>
              <w:rPr>
                <w:rFonts w:hint="eastAsia" w:ascii="宋体" w:hAnsi="宋体" w:eastAsia="宋体" w:cs="宋体"/>
                <w:kern w:val="0"/>
                <w:szCs w:val="24"/>
                <w:lang w:bidi="ar"/>
              </w:rPr>
              <w:t xml:space="preserve">项目供电由市政电网供给。 </w:t>
            </w:r>
          </w:p>
          <w:p>
            <w:pPr>
              <w:pStyle w:val="33"/>
              <w:ind w:firstLine="482"/>
            </w:pPr>
            <w:r>
              <w:rPr>
                <w:rFonts w:hint="eastAsia"/>
              </w:rPr>
              <w:t>6</w:t>
            </w:r>
            <w:r>
              <w:t>、劳动定员及工作</w:t>
            </w:r>
            <w:r>
              <w:rPr>
                <w:rFonts w:hint="eastAsia"/>
              </w:rPr>
              <w:t>制</w:t>
            </w:r>
          </w:p>
          <w:p>
            <w:pPr>
              <w:ind w:firstLine="480"/>
            </w:pPr>
            <w:r>
              <w:rPr>
                <w:rFonts w:hint="eastAsia"/>
              </w:rPr>
              <w:t>劳动定员：全院现有职工24人，均在卫生院内吃饭，不住宿。</w:t>
            </w:r>
          </w:p>
          <w:p>
            <w:pPr>
              <w:ind w:firstLine="480"/>
              <w:rPr>
                <w:rFonts w:eastAsia="宋体" w:cs="Times New Roman"/>
                <w:szCs w:val="24"/>
              </w:rPr>
            </w:pPr>
            <w:r>
              <w:rPr>
                <w:rFonts w:hint="eastAsia"/>
              </w:rPr>
              <w:t>工作制度：卫生院</w:t>
            </w:r>
            <w:r>
              <w:t>365天</w:t>
            </w:r>
            <w:r>
              <w:rPr>
                <w:rFonts w:hint="eastAsia"/>
              </w:rPr>
              <w:t>全年运行</w:t>
            </w:r>
            <w:r>
              <w:t>，</w:t>
            </w:r>
            <w:r>
              <w:rPr>
                <w:rFonts w:hint="eastAsia" w:cs="Times New Roman"/>
                <w:szCs w:val="24"/>
              </w:rPr>
              <w:t>三</w:t>
            </w:r>
            <w:r>
              <w:rPr>
                <w:rFonts w:eastAsia="宋体" w:cs="Times New Roman"/>
                <w:szCs w:val="24"/>
              </w:rPr>
              <w:t>班制，每班</w:t>
            </w:r>
            <w:r>
              <w:rPr>
                <w:rFonts w:hint="eastAsia" w:eastAsia="宋体" w:cs="Times New Roman"/>
                <w:szCs w:val="24"/>
              </w:rPr>
              <w:t>每天</w:t>
            </w:r>
            <w:r>
              <w:rPr>
                <w:rFonts w:eastAsia="宋体" w:cs="Times New Roman"/>
                <w:szCs w:val="24"/>
              </w:rPr>
              <w:t>工作8小时。</w:t>
            </w:r>
          </w:p>
          <w:p>
            <w:pPr>
              <w:pStyle w:val="5"/>
              <w:spacing w:before="0" w:beforeLines="0"/>
              <w:ind w:firstLine="482"/>
            </w:pPr>
            <w:r>
              <w:rPr>
                <w:rFonts w:hint="eastAsia"/>
              </w:rPr>
              <w:t>7、总平面布置</w:t>
            </w:r>
          </w:p>
          <w:p>
            <w:pPr>
              <w:ind w:firstLine="480"/>
              <w:rPr>
                <w:b/>
                <w:kern w:val="0"/>
              </w:rPr>
            </w:pPr>
            <w:r>
              <w:rPr>
                <w:rFonts w:hint="eastAsia"/>
              </w:rPr>
              <w:t>卫生院总体布局呈东西分布，项目出入口位于卫生院东面紧邻外部道路，方便就诊人员进出；预防接种楼和门诊综合楼位于东面出入口处，方便日常接种；项目行政办公楼位于卫生院北面；住院楼设置于卫生院西北侧及西南侧；职工食堂等生活区位于门诊综合楼1楼，生活区与诊疗区区分开；新建污水处理站位于卫生院西侧，1#住院楼与2#住院楼中间；医疗废物暂存间位于3#住院楼南侧；卫生院南北中间为绿化和场地，在美化环境的同时具有一定隔离作用。</w:t>
            </w:r>
            <w:r>
              <w:rPr>
                <w:rFonts w:hint="eastAsia"/>
                <w:color w:val="FF0000"/>
              </w:rPr>
              <w:t>项目平面布局基本合理</w:t>
            </w:r>
            <w:r>
              <w:rPr>
                <w:rFonts w:hint="eastAsia"/>
                <w:b/>
                <w:color w:val="FF0000"/>
                <w:kern w:val="0"/>
              </w:rPr>
              <w:t>。</w:t>
            </w:r>
          </w:p>
          <w:p>
            <w:pPr>
              <w:ind w:firstLine="480"/>
              <w:rPr>
                <w:kern w:val="0"/>
              </w:rPr>
            </w:pPr>
            <w:r>
              <w:rPr>
                <w:rFonts w:hint="eastAsia"/>
                <w:kern w:val="0"/>
              </w:rPr>
              <w:t>项目平面布置详见附图3。</w:t>
            </w:r>
          </w:p>
          <w:p>
            <w:pPr>
              <w:pStyle w:val="5"/>
              <w:spacing w:before="0" w:beforeLines="0"/>
              <w:ind w:firstLine="482"/>
            </w:pPr>
            <w:r>
              <w:rPr>
                <w:rFonts w:hint="eastAsia"/>
              </w:rPr>
              <w:t>8、环保投资</w:t>
            </w:r>
          </w:p>
          <w:p>
            <w:pPr>
              <w:ind w:firstLine="480"/>
              <w:rPr>
                <w:rFonts w:hAnsi="宋体" w:eastAsia="宋体" w:cs="Times New Roman"/>
              </w:rPr>
            </w:pPr>
            <w:r>
              <w:rPr>
                <w:rFonts w:hAnsi="宋体" w:eastAsia="宋体" w:cs="Times New Roman"/>
              </w:rPr>
              <w:t>本项目总投资</w:t>
            </w:r>
            <w:r>
              <w:rPr>
                <w:rFonts w:hint="eastAsia" w:eastAsia="宋体" w:cs="Times New Roman"/>
                <w:szCs w:val="24"/>
              </w:rPr>
              <w:t>1800</w:t>
            </w:r>
            <w:r>
              <w:rPr>
                <w:rFonts w:hAnsi="宋体" w:eastAsia="宋体" w:cs="Times New Roman"/>
              </w:rPr>
              <w:t>万元，其中环保投资</w:t>
            </w:r>
            <w:r>
              <w:rPr>
                <w:rFonts w:hint="eastAsia" w:hAnsi="宋体" w:eastAsia="宋体" w:cs="Times New Roman"/>
              </w:rPr>
              <w:t>33.1</w:t>
            </w:r>
            <w:r>
              <w:rPr>
                <w:rFonts w:hAnsi="宋体" w:eastAsia="宋体" w:cs="Times New Roman"/>
              </w:rPr>
              <w:t>万元，占总投资的</w:t>
            </w:r>
            <w:r>
              <w:rPr>
                <w:rFonts w:hint="eastAsia" w:eastAsia="宋体" w:cs="Times New Roman"/>
              </w:rPr>
              <w:t>1.84</w:t>
            </w:r>
            <w:r>
              <w:rPr>
                <w:rFonts w:eastAsia="宋体" w:cs="Times New Roman"/>
              </w:rPr>
              <w:t>%</w:t>
            </w:r>
            <w:r>
              <w:rPr>
                <w:rFonts w:hAnsi="宋体" w:eastAsia="宋体" w:cs="Times New Roman"/>
              </w:rPr>
              <w:t>，环保投资明细详见表</w:t>
            </w:r>
            <w:r>
              <w:rPr>
                <w:rFonts w:hint="eastAsia" w:eastAsia="宋体" w:cs="Times New Roman"/>
              </w:rPr>
              <w:t>2</w:t>
            </w:r>
            <w:r>
              <w:rPr>
                <w:rFonts w:eastAsia="宋体" w:cs="Times New Roman"/>
              </w:rPr>
              <w:t>-</w:t>
            </w:r>
            <w:r>
              <w:rPr>
                <w:rFonts w:hint="eastAsia" w:eastAsia="宋体" w:cs="Times New Roman"/>
              </w:rPr>
              <w:t>4</w:t>
            </w:r>
            <w:r>
              <w:rPr>
                <w:rFonts w:hAnsi="宋体" w:eastAsia="宋体" w:cs="Times New Roman"/>
              </w:rPr>
              <w:t>。</w:t>
            </w:r>
          </w:p>
          <w:p>
            <w:pPr>
              <w:pStyle w:val="66"/>
              <w:ind w:firstLine="480"/>
            </w:pPr>
            <w:r>
              <w:t>表</w:t>
            </w:r>
            <w:r>
              <w:rPr>
                <w:rFonts w:hint="eastAsia"/>
              </w:rPr>
              <w:t>2</w:t>
            </w:r>
            <w:r>
              <w:t>-</w:t>
            </w:r>
            <w:r>
              <w:rPr>
                <w:rFonts w:hint="eastAsia"/>
              </w:rPr>
              <w:t>4</w:t>
            </w:r>
            <w:r>
              <w:t xml:space="preserve">  项目环保投资一览表</w:t>
            </w:r>
          </w:p>
          <w:tbl>
            <w:tblPr>
              <w:tblStyle w:val="36"/>
              <w:tblW w:w="8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686"/>
              <w:gridCol w:w="4934"/>
              <w:gridCol w:w="1327"/>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gridSpan w:val="2"/>
                  <w:vAlign w:val="center"/>
                </w:tcPr>
                <w:p>
                  <w:pPr>
                    <w:pStyle w:val="146"/>
                  </w:pPr>
                  <w:r>
                    <w:t>治理对象</w:t>
                  </w:r>
                </w:p>
              </w:tc>
              <w:tc>
                <w:tcPr>
                  <w:tcW w:w="4934" w:type="dxa"/>
                  <w:vAlign w:val="center"/>
                </w:tcPr>
                <w:p>
                  <w:pPr>
                    <w:pStyle w:val="146"/>
                  </w:pPr>
                  <w:r>
                    <w:t>治理措施</w:t>
                  </w:r>
                  <w:r>
                    <w:rPr>
                      <w:rFonts w:hint="eastAsia"/>
                    </w:rPr>
                    <w:t>及规模</w:t>
                  </w:r>
                </w:p>
              </w:tc>
              <w:tc>
                <w:tcPr>
                  <w:tcW w:w="1327" w:type="dxa"/>
                  <w:vAlign w:val="center"/>
                </w:tcPr>
                <w:p>
                  <w:pPr>
                    <w:pStyle w:val="146"/>
                  </w:pPr>
                  <w:r>
                    <w:t>投资（万元）</w:t>
                  </w:r>
                </w:p>
              </w:tc>
              <w:tc>
                <w:tcPr>
                  <w:tcW w:w="786" w:type="dxa"/>
                  <w:vAlign w:val="center"/>
                </w:tcPr>
                <w:p>
                  <w:pPr>
                    <w:pStyle w:val="146"/>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restart"/>
                  <w:vAlign w:val="center"/>
                </w:tcPr>
                <w:p>
                  <w:pPr>
                    <w:pStyle w:val="146"/>
                  </w:pPr>
                  <w:r>
                    <w:t>运营期</w:t>
                  </w:r>
                </w:p>
              </w:tc>
              <w:tc>
                <w:tcPr>
                  <w:tcW w:w="686" w:type="dxa"/>
                  <w:vMerge w:val="restart"/>
                  <w:vAlign w:val="center"/>
                </w:tcPr>
                <w:p>
                  <w:pPr>
                    <w:pStyle w:val="146"/>
                  </w:pPr>
                  <w:r>
                    <w:t>废水</w:t>
                  </w:r>
                </w:p>
              </w:tc>
              <w:tc>
                <w:tcPr>
                  <w:tcW w:w="4934" w:type="dxa"/>
                  <w:vAlign w:val="center"/>
                </w:tcPr>
                <w:p>
                  <w:pPr>
                    <w:pStyle w:val="146"/>
                  </w:pPr>
                  <w:r>
                    <w:rPr>
                      <w:rFonts w:hint="eastAsia"/>
                    </w:rPr>
                    <w:t>雨污分流，院内雨污管网及截排水沟</w:t>
                  </w:r>
                </w:p>
              </w:tc>
              <w:tc>
                <w:tcPr>
                  <w:tcW w:w="1327" w:type="dxa"/>
                  <w:vAlign w:val="center"/>
                </w:tcPr>
                <w:p>
                  <w:pPr>
                    <w:pStyle w:val="146"/>
                  </w:pPr>
                  <w:r>
                    <w:rPr>
                      <w:rFonts w:hint="eastAsia"/>
                    </w:rPr>
                    <w:t>4</w:t>
                  </w:r>
                </w:p>
              </w:tc>
              <w:tc>
                <w:tcPr>
                  <w:tcW w:w="786" w:type="dxa"/>
                  <w:vAlign w:val="center"/>
                </w:tcPr>
                <w:p>
                  <w:pPr>
                    <w:pStyle w:val="146"/>
                  </w:pPr>
                  <w:r>
                    <w:rPr>
                      <w:rFonts w:hint="eastAsia"/>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vAlign w:val="center"/>
                </w:tcPr>
                <w:p>
                  <w:pPr>
                    <w:pStyle w:val="146"/>
                  </w:pPr>
                </w:p>
              </w:tc>
              <w:tc>
                <w:tcPr>
                  <w:tcW w:w="686" w:type="dxa"/>
                  <w:vMerge w:val="continue"/>
                  <w:vAlign w:val="center"/>
                </w:tcPr>
                <w:p>
                  <w:pPr>
                    <w:pStyle w:val="146"/>
                  </w:pPr>
                </w:p>
              </w:tc>
              <w:tc>
                <w:tcPr>
                  <w:tcW w:w="4934" w:type="dxa"/>
                  <w:vAlign w:val="center"/>
                </w:tcPr>
                <w:p>
                  <w:pPr>
                    <w:pStyle w:val="146"/>
                  </w:pPr>
                  <w:r>
                    <w:rPr>
                      <w:rFonts w:hint="eastAsia"/>
                    </w:rPr>
                    <w:t>检验室废液收集桶，4只</w:t>
                  </w:r>
                </w:p>
              </w:tc>
              <w:tc>
                <w:tcPr>
                  <w:tcW w:w="1327" w:type="dxa"/>
                  <w:vAlign w:val="center"/>
                </w:tcPr>
                <w:p>
                  <w:pPr>
                    <w:pStyle w:val="146"/>
                  </w:pPr>
                  <w:r>
                    <w:rPr>
                      <w:rFonts w:hint="eastAsia"/>
                    </w:rPr>
                    <w:t>0.2</w:t>
                  </w:r>
                </w:p>
              </w:tc>
              <w:tc>
                <w:tcPr>
                  <w:tcW w:w="786" w:type="dxa"/>
                  <w:vAlign w:val="center"/>
                </w:tcPr>
                <w:p>
                  <w:pPr>
                    <w:pStyle w:val="146"/>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vAlign w:val="center"/>
                </w:tcPr>
                <w:p>
                  <w:pPr>
                    <w:pStyle w:val="146"/>
                  </w:pPr>
                </w:p>
              </w:tc>
              <w:tc>
                <w:tcPr>
                  <w:tcW w:w="686" w:type="dxa"/>
                  <w:vMerge w:val="continue"/>
                  <w:vAlign w:val="center"/>
                </w:tcPr>
                <w:p>
                  <w:pPr>
                    <w:pStyle w:val="146"/>
                  </w:pPr>
                </w:p>
              </w:tc>
              <w:tc>
                <w:tcPr>
                  <w:tcW w:w="4934" w:type="dxa"/>
                  <w:vAlign w:val="center"/>
                </w:tcPr>
                <w:p>
                  <w:pPr>
                    <w:pStyle w:val="146"/>
                  </w:pPr>
                  <w:r>
                    <w:rPr>
                      <w:rFonts w:hint="eastAsia"/>
                    </w:rPr>
                    <w:t>食堂隔油池1个，容积为0.5</w:t>
                  </w:r>
                  <w:r>
                    <w:t xml:space="preserve"> m</w:t>
                  </w:r>
                  <w:r>
                    <w:rPr>
                      <w:vertAlign w:val="superscript"/>
                    </w:rPr>
                    <w:t>3</w:t>
                  </w:r>
                </w:p>
              </w:tc>
              <w:tc>
                <w:tcPr>
                  <w:tcW w:w="1327" w:type="dxa"/>
                  <w:vAlign w:val="center"/>
                </w:tcPr>
                <w:p>
                  <w:pPr>
                    <w:pStyle w:val="146"/>
                  </w:pPr>
                  <w:r>
                    <w:rPr>
                      <w:rFonts w:hint="eastAsia"/>
                    </w:rPr>
                    <w:t>0.2</w:t>
                  </w:r>
                </w:p>
              </w:tc>
              <w:tc>
                <w:tcPr>
                  <w:tcW w:w="786" w:type="dxa"/>
                  <w:vAlign w:val="center"/>
                </w:tcPr>
                <w:p>
                  <w:pPr>
                    <w:pStyle w:val="146"/>
                  </w:pPr>
                  <w:r>
                    <w:rPr>
                      <w:rFonts w:hint="eastAsia"/>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tcPr>
                <w:p>
                  <w:pPr>
                    <w:pStyle w:val="146"/>
                  </w:pPr>
                </w:p>
              </w:tc>
              <w:tc>
                <w:tcPr>
                  <w:tcW w:w="686" w:type="dxa"/>
                  <w:vMerge w:val="continue"/>
                </w:tcPr>
                <w:p>
                  <w:pPr>
                    <w:pStyle w:val="146"/>
                  </w:pPr>
                </w:p>
              </w:tc>
              <w:tc>
                <w:tcPr>
                  <w:tcW w:w="4934" w:type="dxa"/>
                  <w:vAlign w:val="center"/>
                </w:tcPr>
                <w:p>
                  <w:pPr>
                    <w:pStyle w:val="146"/>
                  </w:pPr>
                  <w:r>
                    <w:rPr>
                      <w:rFonts w:hint="eastAsia"/>
                    </w:rPr>
                    <w:t>化粪池4个，容积分别为5</w:t>
                  </w:r>
                  <w:r>
                    <w:t xml:space="preserve"> m</w:t>
                  </w:r>
                  <w:r>
                    <w:rPr>
                      <w:vertAlign w:val="superscript"/>
                    </w:rPr>
                    <w:t>3</w:t>
                  </w:r>
                  <w:r>
                    <w:rPr>
                      <w:rFonts w:hint="eastAsia"/>
                    </w:rPr>
                    <w:t>、5</w:t>
                  </w:r>
                  <w:r>
                    <w:t xml:space="preserve"> m</w:t>
                  </w:r>
                  <w:r>
                    <w:rPr>
                      <w:vertAlign w:val="superscript"/>
                    </w:rPr>
                    <w:t>3</w:t>
                  </w:r>
                  <w:r>
                    <w:rPr>
                      <w:rFonts w:hint="eastAsia"/>
                    </w:rPr>
                    <w:t>、4</w:t>
                  </w:r>
                  <w:r>
                    <w:t xml:space="preserve"> m</w:t>
                  </w:r>
                  <w:r>
                    <w:rPr>
                      <w:vertAlign w:val="superscript"/>
                    </w:rPr>
                    <w:t>3</w:t>
                  </w:r>
                  <w:r>
                    <w:rPr>
                      <w:rFonts w:hint="eastAsia"/>
                    </w:rPr>
                    <w:t>、4</w:t>
                  </w:r>
                  <w:r>
                    <w:t xml:space="preserve"> m</w:t>
                  </w:r>
                  <w:r>
                    <w:rPr>
                      <w:vertAlign w:val="superscript"/>
                    </w:rPr>
                    <w:t>3</w:t>
                  </w:r>
                </w:p>
              </w:tc>
              <w:tc>
                <w:tcPr>
                  <w:tcW w:w="1327" w:type="dxa"/>
                  <w:vAlign w:val="center"/>
                </w:tcPr>
                <w:p>
                  <w:pPr>
                    <w:pStyle w:val="146"/>
                  </w:pPr>
                  <w:r>
                    <w:rPr>
                      <w:rFonts w:hint="eastAsia"/>
                    </w:rPr>
                    <w:t>1</w:t>
                  </w:r>
                </w:p>
              </w:tc>
              <w:tc>
                <w:tcPr>
                  <w:tcW w:w="786" w:type="dxa"/>
                  <w:vAlign w:val="center"/>
                </w:tcPr>
                <w:p>
                  <w:pPr>
                    <w:pStyle w:val="146"/>
                  </w:pPr>
                  <w:r>
                    <w:rPr>
                      <w:rFonts w:hint="eastAsia"/>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tcPr>
                <w:p>
                  <w:pPr>
                    <w:pStyle w:val="146"/>
                  </w:pPr>
                </w:p>
              </w:tc>
              <w:tc>
                <w:tcPr>
                  <w:tcW w:w="686" w:type="dxa"/>
                  <w:vMerge w:val="continue"/>
                </w:tcPr>
                <w:p>
                  <w:pPr>
                    <w:pStyle w:val="146"/>
                  </w:pPr>
                </w:p>
              </w:tc>
              <w:tc>
                <w:tcPr>
                  <w:tcW w:w="4934" w:type="dxa"/>
                  <w:vAlign w:val="center"/>
                </w:tcPr>
                <w:p>
                  <w:pPr>
                    <w:pStyle w:val="146"/>
                  </w:pPr>
                  <w:r>
                    <w:t>污水处理站</w:t>
                  </w:r>
                  <w:r>
                    <w:rPr>
                      <w:rFonts w:hint="eastAsia"/>
                    </w:rPr>
                    <w:t>1座，处理规模不小于15</w:t>
                  </w:r>
                  <w:r>
                    <w:t>m</w:t>
                  </w:r>
                  <w:r>
                    <w:rPr>
                      <w:vertAlign w:val="superscript"/>
                    </w:rPr>
                    <w:t>3</w:t>
                  </w:r>
                  <w:r>
                    <w:t>/d</w:t>
                  </w:r>
                  <w:r>
                    <w:rPr>
                      <w:rFonts w:hint="eastAsia"/>
                    </w:rPr>
                    <w:t>，规范化污水排放口1个</w:t>
                  </w:r>
                  <w:r>
                    <w:t>。</w:t>
                  </w:r>
                </w:p>
              </w:tc>
              <w:tc>
                <w:tcPr>
                  <w:tcW w:w="1327" w:type="dxa"/>
                  <w:vAlign w:val="center"/>
                </w:tcPr>
                <w:p>
                  <w:pPr>
                    <w:pStyle w:val="146"/>
                  </w:pPr>
                  <w:r>
                    <w:rPr>
                      <w:rFonts w:hint="eastAsia"/>
                    </w:rPr>
                    <w:t>16</w:t>
                  </w:r>
                </w:p>
              </w:tc>
              <w:tc>
                <w:tcPr>
                  <w:tcW w:w="786" w:type="dxa"/>
                  <w:vAlign w:val="center"/>
                </w:tcPr>
                <w:p>
                  <w:pPr>
                    <w:pStyle w:val="146"/>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tcPr>
                <w:p>
                  <w:pPr>
                    <w:pStyle w:val="146"/>
                  </w:pPr>
                </w:p>
              </w:tc>
              <w:tc>
                <w:tcPr>
                  <w:tcW w:w="686" w:type="dxa"/>
                  <w:vAlign w:val="center"/>
                </w:tcPr>
                <w:p>
                  <w:pPr>
                    <w:pStyle w:val="146"/>
                  </w:pPr>
                  <w:r>
                    <w:rPr>
                      <w:rFonts w:hint="eastAsia"/>
                    </w:rPr>
                    <w:t>废气</w:t>
                  </w:r>
                </w:p>
              </w:tc>
              <w:tc>
                <w:tcPr>
                  <w:tcW w:w="4934" w:type="dxa"/>
                  <w:vAlign w:val="center"/>
                </w:tcPr>
                <w:p>
                  <w:pPr>
                    <w:pStyle w:val="146"/>
                  </w:pPr>
                  <w:r>
                    <w:rPr>
                      <w:rFonts w:hint="eastAsia"/>
                    </w:rPr>
                    <w:t>食堂抽油烟机1套</w:t>
                  </w:r>
                </w:p>
              </w:tc>
              <w:tc>
                <w:tcPr>
                  <w:tcW w:w="1327" w:type="dxa"/>
                  <w:vAlign w:val="center"/>
                </w:tcPr>
                <w:p>
                  <w:pPr>
                    <w:pStyle w:val="146"/>
                  </w:pPr>
                  <w:r>
                    <w:rPr>
                      <w:rFonts w:hint="eastAsia"/>
                    </w:rPr>
                    <w:t>1.5</w:t>
                  </w:r>
                </w:p>
              </w:tc>
              <w:tc>
                <w:tcPr>
                  <w:tcW w:w="786" w:type="dxa"/>
                  <w:vAlign w:val="center"/>
                </w:tcPr>
                <w:p>
                  <w:pPr>
                    <w:pStyle w:val="146"/>
                  </w:pPr>
                  <w:r>
                    <w:rPr>
                      <w:rFonts w:hint="eastAsia"/>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tcPr>
                <w:p>
                  <w:pPr>
                    <w:pStyle w:val="146"/>
                  </w:pPr>
                </w:p>
              </w:tc>
              <w:tc>
                <w:tcPr>
                  <w:tcW w:w="686" w:type="dxa"/>
                  <w:vAlign w:val="center"/>
                </w:tcPr>
                <w:p>
                  <w:pPr>
                    <w:pStyle w:val="146"/>
                  </w:pPr>
                  <w:r>
                    <w:t>噪声</w:t>
                  </w:r>
                </w:p>
              </w:tc>
              <w:tc>
                <w:tcPr>
                  <w:tcW w:w="4934" w:type="dxa"/>
                  <w:vAlign w:val="center"/>
                </w:tcPr>
                <w:p>
                  <w:pPr>
                    <w:pStyle w:val="146"/>
                    <w:jc w:val="both"/>
                  </w:pPr>
                  <w:r>
                    <w:rPr>
                      <w:rFonts w:hint="eastAsia"/>
                    </w:rPr>
                    <w:t>风机置于密闭的专门风机柜内，风机底座和基础安装减震设施，同时将风机柜设置成半地埋式；备用发电机置于备用发电机房内。</w:t>
                  </w:r>
                </w:p>
              </w:tc>
              <w:tc>
                <w:tcPr>
                  <w:tcW w:w="1327" w:type="dxa"/>
                  <w:vAlign w:val="center"/>
                </w:tcPr>
                <w:p>
                  <w:pPr>
                    <w:pStyle w:val="146"/>
                  </w:pPr>
                  <w:r>
                    <w:rPr>
                      <w:rFonts w:hint="eastAsia"/>
                    </w:rPr>
                    <w:t>1.5</w:t>
                  </w:r>
                </w:p>
              </w:tc>
              <w:tc>
                <w:tcPr>
                  <w:tcW w:w="786" w:type="dxa"/>
                  <w:vAlign w:val="center"/>
                </w:tcPr>
                <w:p>
                  <w:pPr>
                    <w:pStyle w:val="146"/>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tcPr>
                <w:p>
                  <w:pPr>
                    <w:pStyle w:val="146"/>
                  </w:pPr>
                </w:p>
              </w:tc>
              <w:tc>
                <w:tcPr>
                  <w:tcW w:w="686" w:type="dxa"/>
                  <w:vMerge w:val="restart"/>
                  <w:vAlign w:val="center"/>
                </w:tcPr>
                <w:p>
                  <w:pPr>
                    <w:pStyle w:val="146"/>
                  </w:pPr>
                  <w:r>
                    <w:t>固废</w:t>
                  </w:r>
                </w:p>
              </w:tc>
              <w:tc>
                <w:tcPr>
                  <w:tcW w:w="4934" w:type="dxa"/>
                  <w:vAlign w:val="center"/>
                </w:tcPr>
                <w:p>
                  <w:pPr>
                    <w:pStyle w:val="146"/>
                    <w:jc w:val="both"/>
                  </w:pPr>
                  <w:r>
                    <w:t>生活垃圾：</w:t>
                  </w:r>
                  <w:r>
                    <w:rPr>
                      <w:rFonts w:hint="eastAsia"/>
                    </w:rPr>
                    <w:t>大型移动式加盖生活垃圾收集桶、室内垃圾收集桶若干个。</w:t>
                  </w:r>
                </w:p>
              </w:tc>
              <w:tc>
                <w:tcPr>
                  <w:tcW w:w="1327" w:type="dxa"/>
                  <w:vAlign w:val="center"/>
                </w:tcPr>
                <w:p>
                  <w:pPr>
                    <w:pStyle w:val="146"/>
                  </w:pPr>
                  <w:r>
                    <w:rPr>
                      <w:rFonts w:hint="eastAsia"/>
                    </w:rPr>
                    <w:t>0.5</w:t>
                  </w:r>
                </w:p>
              </w:tc>
              <w:tc>
                <w:tcPr>
                  <w:tcW w:w="786" w:type="dxa"/>
                  <w:vAlign w:val="center"/>
                </w:tcPr>
                <w:p>
                  <w:pPr>
                    <w:pStyle w:val="146"/>
                  </w:pPr>
                  <w:r>
                    <w:rPr>
                      <w:rFonts w:hint="eastAsia"/>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tcPr>
                <w:p>
                  <w:pPr>
                    <w:pStyle w:val="146"/>
                  </w:pPr>
                </w:p>
              </w:tc>
              <w:tc>
                <w:tcPr>
                  <w:tcW w:w="686" w:type="dxa"/>
                  <w:vMerge w:val="continue"/>
                  <w:vAlign w:val="center"/>
                </w:tcPr>
                <w:p>
                  <w:pPr>
                    <w:pStyle w:val="146"/>
                  </w:pPr>
                </w:p>
              </w:tc>
              <w:tc>
                <w:tcPr>
                  <w:tcW w:w="4934" w:type="dxa"/>
                  <w:vAlign w:val="center"/>
                </w:tcPr>
                <w:p>
                  <w:pPr>
                    <w:pStyle w:val="146"/>
                    <w:jc w:val="both"/>
                  </w:pPr>
                  <w:r>
                    <w:rPr>
                      <w:rFonts w:hint="eastAsia"/>
                    </w:rPr>
                    <w:t>医疗废物暂存间1间，建筑面积20</w:t>
                  </w:r>
                  <w:r>
                    <w:t>m</w:t>
                  </w:r>
                  <w:r>
                    <w:rPr>
                      <w:vertAlign w:val="superscript"/>
                    </w:rPr>
                    <w:t>2</w:t>
                  </w:r>
                  <w:r>
                    <w:t>。</w:t>
                  </w:r>
                </w:p>
              </w:tc>
              <w:tc>
                <w:tcPr>
                  <w:tcW w:w="1327" w:type="dxa"/>
                  <w:vAlign w:val="center"/>
                </w:tcPr>
                <w:p>
                  <w:pPr>
                    <w:pStyle w:val="146"/>
                  </w:pPr>
                  <w:r>
                    <w:rPr>
                      <w:rFonts w:hint="eastAsia"/>
                    </w:rPr>
                    <w:t>7</w:t>
                  </w:r>
                </w:p>
              </w:tc>
              <w:tc>
                <w:tcPr>
                  <w:tcW w:w="786" w:type="dxa"/>
                  <w:vAlign w:val="center"/>
                </w:tcPr>
                <w:p>
                  <w:pPr>
                    <w:pStyle w:val="146"/>
                  </w:pPr>
                  <w:r>
                    <w:rPr>
                      <w:rFonts w:hint="eastAsia"/>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tcPr>
                <w:p>
                  <w:pPr>
                    <w:pStyle w:val="146"/>
                  </w:pPr>
                </w:p>
              </w:tc>
              <w:tc>
                <w:tcPr>
                  <w:tcW w:w="686" w:type="dxa"/>
                  <w:vAlign w:val="center"/>
                </w:tcPr>
                <w:p>
                  <w:pPr>
                    <w:pStyle w:val="146"/>
                  </w:pPr>
                  <w:r>
                    <w:rPr>
                      <w:rFonts w:hint="eastAsia"/>
                    </w:rPr>
                    <w:t>生态</w:t>
                  </w:r>
                </w:p>
              </w:tc>
              <w:tc>
                <w:tcPr>
                  <w:tcW w:w="4934" w:type="dxa"/>
                  <w:vAlign w:val="center"/>
                </w:tcPr>
                <w:p>
                  <w:pPr>
                    <w:pStyle w:val="146"/>
                  </w:pPr>
                  <w:r>
                    <w:t>绿化面积</w:t>
                  </w:r>
                  <w:r>
                    <w:rPr>
                      <w:rFonts w:hint="eastAsia"/>
                    </w:rPr>
                    <w:t>100</w:t>
                  </w:r>
                  <w:r>
                    <w:t>m</w:t>
                  </w:r>
                  <w:r>
                    <w:rPr>
                      <w:vertAlign w:val="superscript"/>
                    </w:rPr>
                    <w:t>2</w:t>
                  </w:r>
                  <w:r>
                    <w:t>。</w:t>
                  </w:r>
                </w:p>
              </w:tc>
              <w:tc>
                <w:tcPr>
                  <w:tcW w:w="1327" w:type="dxa"/>
                  <w:vAlign w:val="center"/>
                </w:tcPr>
                <w:p>
                  <w:pPr>
                    <w:pStyle w:val="146"/>
                  </w:pPr>
                  <w:r>
                    <w:rPr>
                      <w:rFonts w:hint="eastAsia"/>
                    </w:rPr>
                    <w:t>1.2</w:t>
                  </w:r>
                </w:p>
              </w:tc>
              <w:tc>
                <w:tcPr>
                  <w:tcW w:w="786" w:type="dxa"/>
                  <w:vAlign w:val="center"/>
                </w:tcPr>
                <w:p>
                  <w:pPr>
                    <w:pStyle w:val="146"/>
                  </w:pPr>
                  <w:r>
                    <w:rPr>
                      <w:rFonts w:hint="eastAsia"/>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4" w:type="dxa"/>
                  <w:gridSpan w:val="3"/>
                  <w:vAlign w:val="center"/>
                </w:tcPr>
                <w:p>
                  <w:pPr>
                    <w:pStyle w:val="146"/>
                  </w:pPr>
                  <w:r>
                    <w:rPr>
                      <w:b/>
                    </w:rPr>
                    <w:t>总计</w:t>
                  </w:r>
                </w:p>
              </w:tc>
              <w:tc>
                <w:tcPr>
                  <w:tcW w:w="1327" w:type="dxa"/>
                  <w:vAlign w:val="center"/>
                </w:tcPr>
                <w:p>
                  <w:pPr>
                    <w:pStyle w:val="146"/>
                  </w:pPr>
                  <w:r>
                    <w:rPr>
                      <w:rFonts w:hint="eastAsia"/>
                    </w:rPr>
                    <w:t>33.1</w:t>
                  </w:r>
                </w:p>
              </w:tc>
              <w:tc>
                <w:tcPr>
                  <w:tcW w:w="786" w:type="dxa"/>
                  <w:vAlign w:val="center"/>
                </w:tcPr>
                <w:p>
                  <w:pPr>
                    <w:pStyle w:val="146"/>
                  </w:pPr>
                  <w:r>
                    <w:t>/</w:t>
                  </w:r>
                </w:p>
              </w:tc>
            </w:tr>
          </w:tbl>
          <w:p>
            <w:pPr>
              <w:ind w:firstLine="48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75" w:type="dxa"/>
            <w:vAlign w:val="center"/>
          </w:tcPr>
          <w:p>
            <w:pPr>
              <w:adjustRightInd w:val="0"/>
              <w:snapToGrid w:val="0"/>
              <w:ind w:firstLine="0" w:firstLineChars="0"/>
              <w:jc w:val="center"/>
              <w:rPr>
                <w:rFonts w:cs="宋体"/>
                <w:b/>
                <w:snapToGrid w:val="0"/>
                <w:kern w:val="0"/>
                <w:szCs w:val="24"/>
              </w:rPr>
            </w:pPr>
          </w:p>
          <w:p>
            <w:pPr>
              <w:adjustRightInd w:val="0"/>
              <w:snapToGrid w:val="0"/>
              <w:ind w:firstLine="0" w:firstLineChars="0"/>
              <w:jc w:val="center"/>
              <w:rPr>
                <w:rFonts w:cs="宋体"/>
                <w:b/>
                <w:snapToGrid w:val="0"/>
                <w:kern w:val="0"/>
                <w:szCs w:val="24"/>
              </w:rPr>
            </w:pPr>
          </w:p>
          <w:p>
            <w:pPr>
              <w:adjustRightInd w:val="0"/>
              <w:snapToGrid w:val="0"/>
              <w:ind w:firstLine="0" w:firstLineChars="0"/>
              <w:jc w:val="center"/>
              <w:rPr>
                <w:rFonts w:cs="宋体"/>
                <w:b/>
                <w:snapToGrid w:val="0"/>
                <w:kern w:val="0"/>
                <w:szCs w:val="24"/>
              </w:rPr>
            </w:pPr>
          </w:p>
          <w:p>
            <w:pPr>
              <w:adjustRightInd w:val="0"/>
              <w:snapToGrid w:val="0"/>
              <w:ind w:firstLine="0" w:firstLineChars="0"/>
              <w:jc w:val="center"/>
              <w:rPr>
                <w:rFonts w:cs="宋体"/>
                <w:b/>
                <w:snapToGrid w:val="0"/>
                <w:kern w:val="0"/>
                <w:szCs w:val="24"/>
              </w:rPr>
            </w:pPr>
          </w:p>
          <w:p>
            <w:pPr>
              <w:adjustRightInd w:val="0"/>
              <w:snapToGrid w:val="0"/>
              <w:ind w:firstLine="0" w:firstLineChars="0"/>
              <w:jc w:val="center"/>
              <w:rPr>
                <w:rFonts w:cs="宋体"/>
                <w:b/>
                <w:snapToGrid w:val="0"/>
                <w:kern w:val="0"/>
                <w:szCs w:val="24"/>
              </w:rPr>
            </w:pPr>
          </w:p>
          <w:p>
            <w:pPr>
              <w:adjustRightInd w:val="0"/>
              <w:snapToGrid w:val="0"/>
              <w:ind w:firstLine="0" w:firstLineChars="0"/>
              <w:jc w:val="center"/>
              <w:rPr>
                <w:rFonts w:cs="宋体"/>
                <w:b/>
                <w:snapToGrid w:val="0"/>
                <w:kern w:val="0"/>
                <w:szCs w:val="24"/>
              </w:rPr>
            </w:pPr>
          </w:p>
          <w:p>
            <w:pPr>
              <w:adjustRightInd w:val="0"/>
              <w:snapToGrid w:val="0"/>
              <w:ind w:firstLine="0" w:firstLineChars="0"/>
              <w:jc w:val="center"/>
              <w:rPr>
                <w:rFonts w:cs="宋体"/>
                <w:b/>
                <w:snapToGrid w:val="0"/>
                <w:kern w:val="0"/>
                <w:szCs w:val="24"/>
              </w:rPr>
            </w:pPr>
          </w:p>
          <w:p>
            <w:pPr>
              <w:adjustRightInd w:val="0"/>
              <w:snapToGrid w:val="0"/>
              <w:ind w:firstLine="0" w:firstLineChars="0"/>
              <w:jc w:val="center"/>
              <w:rPr>
                <w:rFonts w:cs="宋体"/>
                <w:b/>
                <w:snapToGrid w:val="0"/>
                <w:kern w:val="0"/>
                <w:szCs w:val="24"/>
              </w:rPr>
            </w:pPr>
          </w:p>
          <w:p>
            <w:pPr>
              <w:adjustRightInd w:val="0"/>
              <w:snapToGrid w:val="0"/>
              <w:ind w:firstLine="0" w:firstLineChars="0"/>
              <w:jc w:val="center"/>
              <w:rPr>
                <w:rFonts w:cs="宋体"/>
                <w:b/>
                <w:snapToGrid w:val="0"/>
                <w:kern w:val="0"/>
                <w:szCs w:val="24"/>
              </w:rPr>
            </w:pPr>
          </w:p>
          <w:p>
            <w:pPr>
              <w:adjustRightInd w:val="0"/>
              <w:snapToGrid w:val="0"/>
              <w:ind w:firstLine="0" w:firstLineChars="0"/>
              <w:jc w:val="center"/>
              <w:rPr>
                <w:rFonts w:cs="宋体"/>
                <w:b/>
                <w:snapToGrid w:val="0"/>
                <w:kern w:val="0"/>
                <w:szCs w:val="24"/>
              </w:rPr>
            </w:pPr>
          </w:p>
          <w:p>
            <w:pPr>
              <w:adjustRightInd w:val="0"/>
              <w:snapToGrid w:val="0"/>
              <w:ind w:firstLine="0" w:firstLineChars="0"/>
              <w:jc w:val="center"/>
              <w:rPr>
                <w:rFonts w:cs="宋体"/>
                <w:b/>
                <w:snapToGrid w:val="0"/>
                <w:kern w:val="0"/>
                <w:szCs w:val="24"/>
              </w:rPr>
            </w:pPr>
          </w:p>
          <w:p>
            <w:pPr>
              <w:adjustRightInd w:val="0"/>
              <w:snapToGrid w:val="0"/>
              <w:ind w:firstLine="0" w:firstLineChars="0"/>
              <w:jc w:val="center"/>
              <w:rPr>
                <w:rFonts w:cs="宋体"/>
                <w:b/>
                <w:snapToGrid w:val="0"/>
                <w:kern w:val="0"/>
                <w:szCs w:val="24"/>
              </w:rPr>
            </w:pPr>
          </w:p>
          <w:p>
            <w:pPr>
              <w:adjustRightInd w:val="0"/>
              <w:snapToGrid w:val="0"/>
              <w:ind w:firstLine="0" w:firstLineChars="0"/>
              <w:jc w:val="center"/>
              <w:rPr>
                <w:rFonts w:cs="宋体"/>
                <w:b/>
                <w:snapToGrid w:val="0"/>
                <w:kern w:val="0"/>
                <w:szCs w:val="24"/>
              </w:rPr>
            </w:pPr>
          </w:p>
          <w:p>
            <w:pPr>
              <w:adjustRightInd w:val="0"/>
              <w:snapToGrid w:val="0"/>
              <w:ind w:firstLine="0" w:firstLineChars="0"/>
              <w:jc w:val="center"/>
              <w:rPr>
                <w:rFonts w:cs="宋体"/>
                <w:b/>
                <w:kern w:val="0"/>
                <w:szCs w:val="24"/>
              </w:rPr>
            </w:pPr>
            <w:r>
              <w:rPr>
                <w:rFonts w:hint="eastAsia" w:cs="宋体"/>
                <w:b/>
                <w:snapToGrid w:val="0"/>
                <w:kern w:val="0"/>
                <w:szCs w:val="24"/>
              </w:rPr>
              <w:t>工艺流程和产排污</w:t>
            </w:r>
            <w:r>
              <w:rPr>
                <w:rFonts w:hint="eastAsia" w:cs="宋体"/>
                <w:b/>
                <w:kern w:val="0"/>
                <w:szCs w:val="24"/>
              </w:rPr>
              <w:t>环节</w:t>
            </w:r>
          </w:p>
          <w:p>
            <w:pPr>
              <w:adjustRightInd w:val="0"/>
              <w:snapToGrid w:val="0"/>
              <w:ind w:firstLine="0" w:firstLineChars="0"/>
              <w:jc w:val="center"/>
              <w:rPr>
                <w:rFonts w:cs="宋体"/>
                <w:b/>
                <w:kern w:val="0"/>
                <w:szCs w:val="24"/>
              </w:rPr>
            </w:pPr>
          </w:p>
          <w:p>
            <w:pPr>
              <w:adjustRightInd w:val="0"/>
              <w:snapToGrid w:val="0"/>
              <w:ind w:firstLine="0" w:firstLineChars="0"/>
              <w:jc w:val="center"/>
              <w:rPr>
                <w:rFonts w:cs="宋体"/>
                <w:b/>
                <w:kern w:val="0"/>
                <w:szCs w:val="24"/>
              </w:rPr>
            </w:pPr>
          </w:p>
          <w:p>
            <w:pPr>
              <w:adjustRightInd w:val="0"/>
              <w:snapToGrid w:val="0"/>
              <w:ind w:firstLine="0" w:firstLineChars="0"/>
              <w:jc w:val="center"/>
              <w:rPr>
                <w:rFonts w:cs="宋体"/>
                <w:b/>
                <w:kern w:val="0"/>
                <w:szCs w:val="24"/>
              </w:rPr>
            </w:pPr>
          </w:p>
          <w:p>
            <w:pPr>
              <w:adjustRightInd w:val="0"/>
              <w:snapToGrid w:val="0"/>
              <w:ind w:firstLine="0" w:firstLineChars="0"/>
              <w:jc w:val="center"/>
              <w:rPr>
                <w:rFonts w:cs="宋体"/>
                <w:b/>
                <w:kern w:val="0"/>
                <w:szCs w:val="24"/>
              </w:rPr>
            </w:pPr>
          </w:p>
          <w:p>
            <w:pPr>
              <w:adjustRightInd w:val="0"/>
              <w:snapToGrid w:val="0"/>
              <w:ind w:firstLine="0" w:firstLineChars="0"/>
              <w:jc w:val="center"/>
              <w:rPr>
                <w:rFonts w:cs="宋体"/>
                <w:b/>
                <w:kern w:val="0"/>
                <w:szCs w:val="24"/>
              </w:rPr>
            </w:pPr>
          </w:p>
          <w:p>
            <w:pPr>
              <w:adjustRightInd w:val="0"/>
              <w:snapToGrid w:val="0"/>
              <w:ind w:firstLine="0" w:firstLineChars="0"/>
              <w:jc w:val="center"/>
              <w:rPr>
                <w:rFonts w:cs="宋体"/>
                <w:b/>
                <w:kern w:val="0"/>
                <w:szCs w:val="24"/>
              </w:rPr>
            </w:pPr>
          </w:p>
          <w:p>
            <w:pPr>
              <w:adjustRightInd w:val="0"/>
              <w:snapToGrid w:val="0"/>
              <w:ind w:firstLine="0" w:firstLineChars="0"/>
              <w:jc w:val="center"/>
              <w:rPr>
                <w:rFonts w:cs="宋体"/>
                <w:b/>
                <w:kern w:val="0"/>
                <w:szCs w:val="24"/>
              </w:rPr>
            </w:pPr>
          </w:p>
          <w:p>
            <w:pPr>
              <w:adjustRightInd w:val="0"/>
              <w:snapToGrid w:val="0"/>
              <w:ind w:firstLine="0" w:firstLineChars="0"/>
              <w:jc w:val="center"/>
              <w:rPr>
                <w:rFonts w:cs="宋体"/>
                <w:b/>
                <w:kern w:val="0"/>
                <w:szCs w:val="24"/>
              </w:rPr>
            </w:pPr>
          </w:p>
          <w:p>
            <w:pPr>
              <w:adjustRightInd w:val="0"/>
              <w:snapToGrid w:val="0"/>
              <w:ind w:firstLine="0" w:firstLineChars="0"/>
              <w:jc w:val="center"/>
              <w:rPr>
                <w:rFonts w:cs="宋体"/>
                <w:b/>
                <w:kern w:val="0"/>
                <w:szCs w:val="24"/>
              </w:rPr>
            </w:pPr>
          </w:p>
          <w:p>
            <w:pPr>
              <w:adjustRightInd w:val="0"/>
              <w:snapToGrid w:val="0"/>
              <w:ind w:firstLine="0" w:firstLineChars="0"/>
              <w:jc w:val="center"/>
              <w:rPr>
                <w:rFonts w:cs="宋体"/>
                <w:b/>
                <w:kern w:val="0"/>
                <w:szCs w:val="24"/>
              </w:rPr>
            </w:pPr>
          </w:p>
          <w:p>
            <w:pPr>
              <w:adjustRightInd w:val="0"/>
              <w:snapToGrid w:val="0"/>
              <w:ind w:firstLine="0" w:firstLineChars="0"/>
              <w:jc w:val="center"/>
              <w:rPr>
                <w:rFonts w:cs="宋体"/>
                <w:b/>
                <w:kern w:val="0"/>
                <w:szCs w:val="24"/>
              </w:rPr>
            </w:pPr>
          </w:p>
          <w:p>
            <w:pPr>
              <w:adjustRightInd w:val="0"/>
              <w:snapToGrid w:val="0"/>
              <w:ind w:firstLine="0" w:firstLineChars="0"/>
              <w:jc w:val="center"/>
              <w:rPr>
                <w:rFonts w:cs="宋体"/>
                <w:b/>
                <w:kern w:val="0"/>
                <w:szCs w:val="24"/>
              </w:rPr>
            </w:pPr>
          </w:p>
          <w:p>
            <w:pPr>
              <w:adjustRightInd w:val="0"/>
              <w:snapToGrid w:val="0"/>
              <w:ind w:firstLine="0" w:firstLineChars="0"/>
              <w:jc w:val="center"/>
              <w:rPr>
                <w:rFonts w:cs="宋体"/>
                <w:b/>
                <w:kern w:val="0"/>
                <w:szCs w:val="24"/>
              </w:rPr>
            </w:pPr>
          </w:p>
          <w:p>
            <w:pPr>
              <w:adjustRightInd w:val="0"/>
              <w:snapToGrid w:val="0"/>
              <w:ind w:firstLine="0" w:firstLineChars="0"/>
              <w:jc w:val="center"/>
              <w:rPr>
                <w:rFonts w:cs="宋体"/>
                <w:b/>
                <w:kern w:val="0"/>
                <w:szCs w:val="24"/>
              </w:rPr>
            </w:pPr>
          </w:p>
          <w:p>
            <w:pPr>
              <w:adjustRightInd w:val="0"/>
              <w:snapToGrid w:val="0"/>
              <w:ind w:firstLine="0" w:firstLineChars="0"/>
              <w:jc w:val="center"/>
              <w:rPr>
                <w:rFonts w:cs="宋体"/>
                <w:b/>
                <w:kern w:val="0"/>
                <w:szCs w:val="24"/>
              </w:rPr>
            </w:pPr>
          </w:p>
          <w:p>
            <w:pPr>
              <w:adjustRightInd w:val="0"/>
              <w:snapToGrid w:val="0"/>
              <w:ind w:firstLine="0" w:firstLineChars="0"/>
              <w:jc w:val="center"/>
              <w:rPr>
                <w:rFonts w:cs="宋体"/>
                <w:b/>
                <w:kern w:val="0"/>
                <w:szCs w:val="24"/>
              </w:rPr>
            </w:pPr>
          </w:p>
          <w:p>
            <w:pPr>
              <w:adjustRightInd w:val="0"/>
              <w:snapToGrid w:val="0"/>
              <w:ind w:firstLine="0" w:firstLineChars="0"/>
              <w:jc w:val="center"/>
              <w:rPr>
                <w:rFonts w:cs="宋体"/>
                <w:b/>
                <w:kern w:val="0"/>
                <w:szCs w:val="24"/>
              </w:rPr>
            </w:pPr>
          </w:p>
          <w:p>
            <w:pPr>
              <w:adjustRightInd w:val="0"/>
              <w:snapToGrid w:val="0"/>
              <w:ind w:firstLine="0" w:firstLineChars="0"/>
              <w:jc w:val="center"/>
              <w:rPr>
                <w:rFonts w:cs="宋体"/>
                <w:b/>
                <w:kern w:val="0"/>
                <w:szCs w:val="24"/>
              </w:rPr>
            </w:pPr>
          </w:p>
          <w:p>
            <w:pPr>
              <w:adjustRightInd w:val="0"/>
              <w:snapToGrid w:val="0"/>
              <w:ind w:firstLine="0" w:firstLineChars="0"/>
              <w:jc w:val="center"/>
              <w:rPr>
                <w:rFonts w:cs="宋体"/>
                <w:b/>
                <w:kern w:val="0"/>
                <w:szCs w:val="24"/>
              </w:rPr>
            </w:pPr>
          </w:p>
          <w:p>
            <w:pPr>
              <w:adjustRightInd w:val="0"/>
              <w:snapToGrid w:val="0"/>
              <w:ind w:firstLine="0" w:firstLineChars="0"/>
              <w:jc w:val="center"/>
              <w:rPr>
                <w:rFonts w:cs="宋体"/>
                <w:b/>
                <w:kern w:val="0"/>
                <w:szCs w:val="24"/>
              </w:rPr>
            </w:pPr>
            <w:r>
              <w:rPr>
                <w:rFonts w:hint="eastAsia" w:cs="宋体"/>
                <w:b/>
                <w:snapToGrid w:val="0"/>
                <w:kern w:val="0"/>
                <w:szCs w:val="24"/>
              </w:rPr>
              <w:t>工艺流程和产排污</w:t>
            </w:r>
            <w:r>
              <w:rPr>
                <w:rFonts w:hint="eastAsia" w:cs="宋体"/>
                <w:b/>
                <w:kern w:val="0"/>
                <w:szCs w:val="24"/>
              </w:rPr>
              <w:t>环节</w:t>
            </w:r>
          </w:p>
          <w:p>
            <w:pPr>
              <w:adjustRightInd w:val="0"/>
              <w:snapToGrid w:val="0"/>
              <w:ind w:firstLine="0" w:firstLineChars="0"/>
              <w:jc w:val="center"/>
              <w:rPr>
                <w:rFonts w:cs="宋体"/>
                <w:b/>
                <w:kern w:val="0"/>
                <w:szCs w:val="24"/>
              </w:rPr>
            </w:pPr>
          </w:p>
          <w:p>
            <w:pPr>
              <w:adjustRightInd w:val="0"/>
              <w:snapToGrid w:val="0"/>
              <w:ind w:firstLine="0" w:firstLineChars="0"/>
              <w:jc w:val="center"/>
              <w:rPr>
                <w:rFonts w:cs="宋体"/>
                <w:b/>
                <w:kern w:val="0"/>
                <w:szCs w:val="24"/>
              </w:rPr>
            </w:pPr>
          </w:p>
          <w:p>
            <w:pPr>
              <w:adjustRightInd w:val="0"/>
              <w:snapToGrid w:val="0"/>
              <w:ind w:firstLine="0" w:firstLineChars="0"/>
              <w:jc w:val="center"/>
              <w:rPr>
                <w:b/>
                <w:kern w:val="0"/>
                <w:szCs w:val="24"/>
              </w:rPr>
            </w:pPr>
          </w:p>
        </w:tc>
        <w:tc>
          <w:tcPr>
            <w:tcW w:w="8584" w:type="dxa"/>
          </w:tcPr>
          <w:p>
            <w:pPr>
              <w:pStyle w:val="5"/>
              <w:spacing w:before="326"/>
              <w:ind w:firstLine="482"/>
            </w:pPr>
            <w:r>
              <w:rPr>
                <w:rFonts w:hint="eastAsia"/>
              </w:rPr>
              <w:t>1、工艺流程图：</w:t>
            </w:r>
          </w:p>
          <w:p>
            <w:pPr>
              <w:ind w:firstLine="0" w:firstLineChars="0"/>
              <w:jc w:val="center"/>
            </w:pPr>
            <w:r>
              <w:rPr>
                <w:rFonts w:hint="eastAsia"/>
              </w:rPr>
              <w:drawing>
                <wp:inline distT="0" distB="0" distL="114300" distR="114300">
                  <wp:extent cx="5029200" cy="6924675"/>
                  <wp:effectExtent l="0" t="0" r="0" b="9525"/>
                  <wp:docPr id="4" name="图片 4" descr="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工艺流程"/>
                          <pic:cNvPicPr>
                            <a:picLocks noChangeAspect="1"/>
                          </pic:cNvPicPr>
                        </pic:nvPicPr>
                        <pic:blipFill>
                          <a:blip r:embed="rId17"/>
                          <a:stretch>
                            <a:fillRect/>
                          </a:stretch>
                        </pic:blipFill>
                        <pic:spPr>
                          <a:xfrm>
                            <a:off x="0" y="0"/>
                            <a:ext cx="5029200" cy="6924675"/>
                          </a:xfrm>
                          <a:prstGeom prst="rect">
                            <a:avLst/>
                          </a:prstGeom>
                        </pic:spPr>
                      </pic:pic>
                    </a:graphicData>
                  </a:graphic>
                </wp:inline>
              </w:drawing>
            </w:r>
          </w:p>
          <w:p>
            <w:pPr>
              <w:pStyle w:val="167"/>
              <w:autoSpaceDE/>
              <w:autoSpaceDN/>
              <w:adjustRightInd/>
              <w:spacing w:line="360" w:lineRule="auto"/>
              <w:ind w:firstLine="482"/>
              <w:jc w:val="center"/>
              <w:rPr>
                <w:rFonts w:eastAsia="宋体"/>
                <w:b/>
                <w:bCs/>
                <w:kern w:val="2"/>
              </w:rPr>
            </w:pPr>
            <w:r>
              <w:rPr>
                <w:rFonts w:eastAsia="宋体"/>
                <w:b/>
                <w:bCs/>
                <w:kern w:val="2"/>
              </w:rPr>
              <w:t>图2-1 项目运营期</w:t>
            </w:r>
            <w:r>
              <w:rPr>
                <w:rFonts w:hint="eastAsia" w:eastAsia="宋体"/>
                <w:b/>
                <w:bCs/>
                <w:kern w:val="2"/>
              </w:rPr>
              <w:t>就医</w:t>
            </w:r>
            <w:r>
              <w:rPr>
                <w:rFonts w:eastAsia="宋体"/>
                <w:b/>
                <w:bCs/>
                <w:kern w:val="2"/>
              </w:rPr>
              <w:t>流程及产污节点示意图</w:t>
            </w:r>
          </w:p>
          <w:p>
            <w:pPr>
              <w:pStyle w:val="5"/>
              <w:spacing w:before="326"/>
              <w:ind w:firstLine="482"/>
            </w:pPr>
          </w:p>
          <w:p>
            <w:pPr>
              <w:pStyle w:val="5"/>
              <w:spacing w:before="326"/>
              <w:ind w:firstLine="482"/>
            </w:pPr>
            <w:r>
              <w:rPr>
                <w:rFonts w:hint="eastAsia"/>
              </w:rPr>
              <w:t>2、工艺流程简述</w:t>
            </w:r>
          </w:p>
          <w:p>
            <w:pPr>
              <w:pStyle w:val="167"/>
              <w:autoSpaceDE/>
              <w:autoSpaceDN/>
              <w:adjustRightInd/>
              <w:spacing w:line="360" w:lineRule="auto"/>
              <w:ind w:firstLine="480" w:firstLineChars="200"/>
              <w:rPr>
                <w:rFonts w:eastAsia="宋体"/>
                <w:kern w:val="2"/>
              </w:rPr>
            </w:pPr>
            <w:r>
              <w:rPr>
                <w:rFonts w:hint="eastAsia" w:eastAsia="宋体"/>
                <w:kern w:val="2"/>
              </w:rPr>
              <w:t>（1）门诊流程：</w:t>
            </w:r>
            <w:r>
              <w:rPr>
                <w:rFonts w:hint="eastAsia"/>
                <w:kern w:val="2"/>
              </w:rPr>
              <w:t>病患</w:t>
            </w:r>
            <w:r>
              <w:rPr>
                <w:rFonts w:hint="eastAsia" w:eastAsia="宋体"/>
                <w:kern w:val="2"/>
              </w:rPr>
              <w:t>到达医院后先到挂号窗口办理就诊卡，根据挂号单进行检查，医生根据检查结果诊断病情，判断</w:t>
            </w:r>
            <w:r>
              <w:rPr>
                <w:rFonts w:hint="eastAsia"/>
                <w:kern w:val="2"/>
              </w:rPr>
              <w:t>病患</w:t>
            </w:r>
            <w:r>
              <w:rPr>
                <w:rFonts w:hint="eastAsia" w:eastAsia="宋体"/>
                <w:kern w:val="2"/>
              </w:rPr>
              <w:t>是否需要住院治疗，</w:t>
            </w:r>
            <w:r>
              <w:rPr>
                <w:rFonts w:hint="eastAsia"/>
                <w:kern w:val="2"/>
              </w:rPr>
              <w:t>病患</w:t>
            </w:r>
            <w:r>
              <w:rPr>
                <w:rFonts w:hint="eastAsia" w:eastAsia="宋体"/>
                <w:kern w:val="2"/>
              </w:rPr>
              <w:t>根据医生开具的凭据进行缴费，诊断需要住院的</w:t>
            </w:r>
            <w:r>
              <w:rPr>
                <w:rFonts w:hint="eastAsia"/>
                <w:kern w:val="2"/>
              </w:rPr>
              <w:t>病患</w:t>
            </w:r>
            <w:r>
              <w:rPr>
                <w:rFonts w:hint="eastAsia" w:eastAsia="宋体"/>
                <w:kern w:val="2"/>
              </w:rPr>
              <w:t>办理住院手续，无需住院的</w:t>
            </w:r>
            <w:r>
              <w:rPr>
                <w:rFonts w:hint="eastAsia"/>
                <w:kern w:val="2"/>
              </w:rPr>
              <w:t>病患</w:t>
            </w:r>
            <w:r>
              <w:rPr>
                <w:rFonts w:hint="eastAsia" w:eastAsia="宋体"/>
                <w:kern w:val="2"/>
              </w:rPr>
              <w:t>取药后直接离开，或者取药后需要经过治疗方可离开。</w:t>
            </w:r>
          </w:p>
          <w:p>
            <w:pPr>
              <w:pStyle w:val="167"/>
              <w:autoSpaceDE/>
              <w:autoSpaceDN/>
              <w:adjustRightInd/>
              <w:spacing w:line="360" w:lineRule="auto"/>
              <w:ind w:firstLine="480" w:firstLineChars="200"/>
              <w:rPr>
                <w:rFonts w:eastAsia="宋体"/>
                <w:kern w:val="2"/>
              </w:rPr>
            </w:pPr>
            <w:r>
              <w:rPr>
                <w:rFonts w:hint="eastAsia" w:eastAsia="宋体"/>
                <w:kern w:val="2"/>
              </w:rPr>
              <w:t>（2）住院流程：当医生判断</w:t>
            </w:r>
            <w:r>
              <w:rPr>
                <w:rFonts w:hint="eastAsia"/>
                <w:kern w:val="2"/>
              </w:rPr>
              <w:t>病患</w:t>
            </w:r>
            <w:r>
              <w:rPr>
                <w:rFonts w:hint="eastAsia" w:eastAsia="宋体"/>
                <w:kern w:val="2"/>
              </w:rPr>
              <w:t>需要住院接受治疗时，</w:t>
            </w:r>
            <w:r>
              <w:rPr>
                <w:rFonts w:hint="eastAsia"/>
                <w:kern w:val="2"/>
              </w:rPr>
              <w:t>病患</w:t>
            </w:r>
            <w:r>
              <w:rPr>
                <w:rFonts w:hint="eastAsia" w:eastAsia="宋体"/>
                <w:kern w:val="2"/>
              </w:rPr>
              <w:t>根据住院单办理住院手续，入院接受治疗。若</w:t>
            </w:r>
            <w:r>
              <w:rPr>
                <w:rFonts w:hint="eastAsia"/>
                <w:kern w:val="2"/>
              </w:rPr>
              <w:t>病患</w:t>
            </w:r>
            <w:r>
              <w:rPr>
                <w:rFonts w:hint="eastAsia" w:eastAsia="宋体"/>
                <w:kern w:val="2"/>
              </w:rPr>
              <w:t>在接收治疗的过程中病情发生恶化，超过本院的能力范围时，需为</w:t>
            </w:r>
            <w:r>
              <w:rPr>
                <w:rFonts w:hint="eastAsia"/>
                <w:kern w:val="2"/>
              </w:rPr>
              <w:t>病患</w:t>
            </w:r>
            <w:r>
              <w:rPr>
                <w:rFonts w:hint="eastAsia" w:eastAsia="宋体"/>
                <w:kern w:val="2"/>
              </w:rPr>
              <w:t>办理转院手续，以确保</w:t>
            </w:r>
            <w:r>
              <w:rPr>
                <w:rFonts w:hint="eastAsia"/>
                <w:kern w:val="2"/>
              </w:rPr>
              <w:t>病患</w:t>
            </w:r>
            <w:r>
              <w:rPr>
                <w:rFonts w:hint="eastAsia" w:eastAsia="宋体"/>
                <w:kern w:val="2"/>
              </w:rPr>
              <w:t>能得到更好的治疗。</w:t>
            </w:r>
            <w:r>
              <w:rPr>
                <w:rFonts w:hint="eastAsia"/>
                <w:kern w:val="2"/>
              </w:rPr>
              <w:t>病患</w:t>
            </w:r>
            <w:r>
              <w:rPr>
                <w:rFonts w:hint="eastAsia" w:eastAsia="宋体"/>
                <w:kern w:val="2"/>
              </w:rPr>
              <w:t>接受住院治疗后病情康复，医生判定</w:t>
            </w:r>
            <w:r>
              <w:rPr>
                <w:rFonts w:hint="eastAsia"/>
                <w:kern w:val="2"/>
              </w:rPr>
              <w:t>病患</w:t>
            </w:r>
            <w:r>
              <w:rPr>
                <w:rFonts w:hint="eastAsia" w:eastAsia="宋体"/>
                <w:kern w:val="2"/>
              </w:rPr>
              <w:t>无需再继续住院治疗时，为其开具出院医嘱，</w:t>
            </w:r>
            <w:r>
              <w:rPr>
                <w:rFonts w:hint="eastAsia"/>
                <w:kern w:val="2"/>
              </w:rPr>
              <w:t>病患</w:t>
            </w:r>
            <w:r>
              <w:rPr>
                <w:rFonts w:hint="eastAsia" w:eastAsia="宋体"/>
                <w:kern w:val="2"/>
              </w:rPr>
              <w:t>办理出院手续，并将费用结算后即可出院。</w:t>
            </w:r>
          </w:p>
          <w:p>
            <w:pPr>
              <w:pStyle w:val="5"/>
              <w:spacing w:before="326"/>
              <w:ind w:firstLine="482"/>
            </w:pPr>
            <w:r>
              <w:rPr>
                <w:rFonts w:hint="eastAsia"/>
              </w:rPr>
              <w:t xml:space="preserve">3、项目主要产污环节 </w:t>
            </w:r>
          </w:p>
          <w:p>
            <w:pPr>
              <w:ind w:firstLine="480"/>
            </w:pPr>
            <w:r>
              <w:rPr>
                <w:rFonts w:hint="eastAsia"/>
              </w:rPr>
              <w:t>（1）废气：废水处理站、医院消毒、医疗废物和生活垃圾等产生的异味，发电机废气，以及食堂油烟；</w:t>
            </w:r>
          </w:p>
          <w:p>
            <w:pPr>
              <w:ind w:firstLine="480"/>
            </w:pPr>
            <w:r>
              <w:rPr>
                <w:rFonts w:hint="eastAsia"/>
              </w:rPr>
              <w:t>（2）废水：住院部、门诊部、职工宿舍和医院食堂等产生的废水；</w:t>
            </w:r>
          </w:p>
          <w:p>
            <w:pPr>
              <w:ind w:firstLine="480"/>
            </w:pPr>
            <w:r>
              <w:rPr>
                <w:rFonts w:hint="eastAsia"/>
              </w:rPr>
              <w:t>（3）固废：生活垃圾、医疗废物、化粪池和一体化污水处理站污泥等；</w:t>
            </w:r>
          </w:p>
          <w:p>
            <w:pPr>
              <w:ind w:firstLine="480"/>
              <w:rPr>
                <w:kern w:val="0"/>
              </w:rPr>
            </w:pPr>
            <w:r>
              <w:rPr>
                <w:rFonts w:hint="eastAsia"/>
              </w:rPr>
              <w:t>（4）噪声：设备运转过程中产生的噪声、生活噪声。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875" w:type="dxa"/>
          </w:tcPr>
          <w:p>
            <w:pPr>
              <w:ind w:firstLine="0" w:firstLineChars="0"/>
              <w:jc w:val="center"/>
              <w:rPr>
                <w:b/>
                <w:kern w:val="0"/>
                <w:szCs w:val="24"/>
              </w:rPr>
            </w:pPr>
            <w:r>
              <w:rPr>
                <w:rFonts w:hint="eastAsia" w:cs="宋体"/>
                <w:b/>
                <w:bCs/>
                <w:szCs w:val="24"/>
              </w:rPr>
              <w:t>与项目有关的原有环境污染问题</w:t>
            </w:r>
          </w:p>
        </w:tc>
        <w:tc>
          <w:tcPr>
            <w:tcW w:w="8584" w:type="dxa"/>
          </w:tcPr>
          <w:p>
            <w:pPr>
              <w:widowControl/>
              <w:ind w:firstLine="480"/>
              <w:jc w:val="left"/>
            </w:pPr>
            <w:r>
              <w:rPr>
                <w:rFonts w:hint="eastAsia" w:ascii="宋体" w:hAnsi="宋体" w:eastAsia="宋体" w:cs="宋体"/>
                <w:kern w:val="0"/>
                <w:szCs w:val="24"/>
                <w:lang w:bidi="ar"/>
              </w:rPr>
              <w:t>姚安县龙岗卫生院成立于</w:t>
            </w:r>
            <w:r>
              <w:rPr>
                <w:rFonts w:eastAsia="宋体" w:cs="Times New Roman"/>
                <w:kern w:val="0"/>
                <w:szCs w:val="24"/>
                <w:lang w:bidi="ar"/>
              </w:rPr>
              <w:t>19</w:t>
            </w:r>
            <w:r>
              <w:rPr>
                <w:rFonts w:hint="eastAsia" w:eastAsia="宋体" w:cs="Times New Roman"/>
                <w:kern w:val="0"/>
                <w:szCs w:val="24"/>
                <w:lang w:bidi="ar"/>
              </w:rPr>
              <w:t>67</w:t>
            </w:r>
            <w:r>
              <w:rPr>
                <w:rFonts w:eastAsia="宋体" w:cs="Times New Roman"/>
                <w:kern w:val="0"/>
                <w:szCs w:val="24"/>
                <w:lang w:bidi="ar"/>
              </w:rPr>
              <w:t xml:space="preserve"> </w:t>
            </w:r>
            <w:r>
              <w:rPr>
                <w:rFonts w:hint="eastAsia" w:ascii="宋体" w:hAnsi="宋体" w:eastAsia="宋体" w:cs="宋体"/>
                <w:kern w:val="0"/>
                <w:szCs w:val="24"/>
                <w:lang w:bidi="ar"/>
              </w:rPr>
              <w:t>年，医院建成至今已有54年。《中华人民共和国环境影响评价法》于</w:t>
            </w:r>
            <w:r>
              <w:rPr>
                <w:rFonts w:eastAsia="宋体" w:cs="Times New Roman"/>
                <w:kern w:val="0"/>
                <w:szCs w:val="24"/>
                <w:lang w:bidi="ar"/>
              </w:rPr>
              <w:t>2003</w:t>
            </w:r>
            <w:r>
              <w:rPr>
                <w:rFonts w:hint="eastAsia" w:ascii="宋体" w:hAnsi="宋体" w:eastAsia="宋体" w:cs="宋体"/>
                <w:kern w:val="0"/>
                <w:szCs w:val="24"/>
                <w:lang w:bidi="ar"/>
              </w:rPr>
              <w:t>年开始施行，法律施行时医院已建成，故医院未办理相关环评手续。根据《中华人民共和国行政处罚法》第二十九条的规定</w:t>
            </w:r>
            <w:r>
              <w:rPr>
                <w:rFonts w:eastAsia="宋体" w:cs="Times New Roman"/>
                <w:kern w:val="0"/>
                <w:szCs w:val="24"/>
                <w:lang w:bidi="ar"/>
              </w:rPr>
              <w:t>:</w:t>
            </w:r>
            <w:r>
              <w:rPr>
                <w:rFonts w:hint="eastAsia" w:ascii="宋体" w:hAnsi="宋体" w:eastAsia="宋体" w:cs="宋体"/>
                <w:kern w:val="0"/>
                <w:szCs w:val="24"/>
                <w:lang w:bidi="ar"/>
              </w:rPr>
              <w:t>“违法行为在二年内未被发现的，不再给予行政处罚。法律另有规定的除外”。卫生院未批先建违法行为已超过两年，不再对该违法行为进行处罚。</w:t>
            </w:r>
            <w:r>
              <w:rPr>
                <w:rFonts w:hint="eastAsia" w:eastAsia="宋体"/>
              </w:rPr>
              <w:t>由于建设时间较早，建设之初由于规模和床位较少未</w:t>
            </w:r>
            <w:r>
              <w:rPr>
                <w:rFonts w:hint="eastAsia" w:eastAsia="宋体"/>
                <w:lang w:val="zh-CN"/>
              </w:rPr>
              <w:t>办理相关环评手续，现为卫生院自行完善环保手续，本次补办环评手续</w:t>
            </w:r>
            <w:r>
              <w:rPr>
                <w:rFonts w:hint="eastAsia" w:ascii="宋体" w:hAnsi="宋体" w:eastAsia="宋体" w:cs="宋体"/>
                <w:kern w:val="0"/>
                <w:szCs w:val="24"/>
                <w:lang w:bidi="ar"/>
              </w:rPr>
              <w:t xml:space="preserve">。 </w:t>
            </w:r>
          </w:p>
          <w:p>
            <w:pPr>
              <w:pStyle w:val="167"/>
              <w:autoSpaceDE/>
              <w:autoSpaceDN/>
              <w:adjustRightInd/>
              <w:spacing w:line="360" w:lineRule="auto"/>
              <w:ind w:firstLine="480" w:firstLineChars="200"/>
              <w:rPr>
                <w:kern w:val="2"/>
              </w:rPr>
            </w:pPr>
            <w:r>
              <w:rPr>
                <w:rFonts w:hint="eastAsia"/>
                <w:kern w:val="2"/>
              </w:rPr>
              <w:t>根据现场踏勘，本项目已运营多年，主要存在问题为：</w:t>
            </w:r>
          </w:p>
          <w:p>
            <w:pPr>
              <w:pStyle w:val="167"/>
              <w:autoSpaceDE/>
              <w:autoSpaceDN/>
              <w:adjustRightInd/>
              <w:spacing w:line="360" w:lineRule="auto"/>
              <w:ind w:firstLine="480" w:firstLineChars="200"/>
              <w:rPr>
                <w:kern w:val="2"/>
              </w:rPr>
            </w:pPr>
            <w:r>
              <w:rPr>
                <w:rFonts w:hint="eastAsia"/>
                <w:kern w:val="2"/>
              </w:rPr>
              <w:t>由于废水产生量较少，无废水深度处理设备，废水经过简单沉淀并消毒处理后外排蜻岭河，对蜻岭河水环境影响较大。</w:t>
            </w:r>
          </w:p>
          <w:p>
            <w:pPr>
              <w:widowControl/>
              <w:ind w:firstLine="480"/>
              <w:jc w:val="left"/>
            </w:pPr>
            <w:r>
              <w:rPr>
                <w:rFonts w:hint="eastAsia"/>
                <w:kern w:val="0"/>
              </w:rPr>
              <w:t>针对上述问题，环评提出建设一座处理规模不小于15m</w:t>
            </w:r>
            <w:r>
              <w:rPr>
                <w:rFonts w:hint="eastAsia"/>
                <w:kern w:val="0"/>
                <w:vertAlign w:val="superscript"/>
              </w:rPr>
              <w:t>3</w:t>
            </w:r>
            <w:r>
              <w:rPr>
                <w:rFonts w:hint="eastAsia"/>
                <w:kern w:val="0"/>
              </w:rPr>
              <w:t>/d一体化污水处理设备一套，</w:t>
            </w:r>
            <w:r>
              <w:rPr>
                <w:rFonts w:hint="eastAsia"/>
                <w:b/>
                <w:bCs/>
              </w:rPr>
              <w:t>姚安县城镇污水管网建到下新屯村委会前</w:t>
            </w:r>
            <w:r>
              <w:rPr>
                <w:rFonts w:hint="eastAsia"/>
              </w:rPr>
              <w:t>，项目食堂产生含油废水经隔油池隔油处理后汇入下水道并拢其他生活废水，与医疗废水一并</w:t>
            </w:r>
            <w:r>
              <w:t>排入</w:t>
            </w:r>
            <w:r>
              <w:rPr>
                <w:rFonts w:hint="eastAsia"/>
              </w:rPr>
              <w:t>化粪池进行预处理</w:t>
            </w:r>
            <w:r>
              <w:t>，</w:t>
            </w:r>
            <w:r>
              <w:rPr>
                <w:rFonts w:hint="eastAsia"/>
              </w:rPr>
              <w:t>再</w:t>
            </w:r>
            <w:r>
              <w:t>排入</w:t>
            </w:r>
            <w:r>
              <w:rPr>
                <w:rFonts w:hint="eastAsia"/>
              </w:rPr>
              <w:t>项目自建的一体化污水处理站处理达《医疗机构水污染物排放标准》GB18466-2005表2中排放标准后，排入项目东侧的蜻蛉河；</w:t>
            </w:r>
            <w:r>
              <w:rPr>
                <w:rFonts w:hint="eastAsia"/>
                <w:b/>
                <w:bCs/>
              </w:rPr>
              <w:t>姚安县城镇污水管网建到下新屯村委会后</w:t>
            </w:r>
            <w:r>
              <w:rPr>
                <w:rFonts w:hint="eastAsia"/>
              </w:rPr>
              <w:t>，项目食堂产生含油废水经隔油池隔油处理后汇入下水道并拢其他生活废水，与医疗废水一并</w:t>
            </w:r>
            <w:r>
              <w:t>排入</w:t>
            </w:r>
            <w:r>
              <w:rPr>
                <w:rFonts w:hint="eastAsia"/>
              </w:rPr>
              <w:t>化粪池进行预处理</w:t>
            </w:r>
            <w:r>
              <w:t>，</w:t>
            </w:r>
            <w:r>
              <w:rPr>
                <w:rFonts w:hint="eastAsia"/>
              </w:rPr>
              <w:t>再</w:t>
            </w:r>
            <w:r>
              <w:t>排入</w:t>
            </w:r>
            <w:r>
              <w:rPr>
                <w:rFonts w:hint="eastAsia"/>
              </w:rPr>
              <w:t>项目自建的一体化污水处理站处理达</w:t>
            </w:r>
            <w:r>
              <w:rPr>
                <w:rFonts w:hint="eastAsia" w:cs="Times New Roman"/>
              </w:rPr>
              <w:t>《医疗机构水污染物排放标准》GB18466-2005表2中预处理标准和《污水排入城镇下水道水质标准》（</w:t>
            </w:r>
            <w:r>
              <w:rPr>
                <w:rFonts w:cs="Times New Roman"/>
              </w:rPr>
              <w:t>GB/T31962-2015</w:t>
            </w:r>
            <w:r>
              <w:rPr>
                <w:rFonts w:hint="eastAsia" w:cs="Times New Roman"/>
              </w:rPr>
              <w:t>）表</w:t>
            </w:r>
            <w:r>
              <w:rPr>
                <w:rFonts w:cs="Times New Roman"/>
              </w:rPr>
              <w:t>1</w:t>
            </w:r>
            <w:r>
              <w:rPr>
                <w:rFonts w:hint="eastAsia" w:cs="Times New Roman"/>
              </w:rPr>
              <w:t>（</w:t>
            </w:r>
            <w:r>
              <w:rPr>
                <w:rFonts w:cs="Times New Roman"/>
              </w:rPr>
              <w:t xml:space="preserve">A </w:t>
            </w:r>
            <w:r>
              <w:rPr>
                <w:rFonts w:hint="eastAsia" w:cs="Times New Roman"/>
              </w:rPr>
              <w:t>等级）标准后，排入姚安县污水管网，最终进入姚安县污水处理厂统一处理</w:t>
            </w:r>
            <w:r>
              <w:rPr>
                <w:rFonts w:hint="eastAsia"/>
              </w:rPr>
              <w:t>。</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0" w:firstLineChars="0"/>
            </w:pPr>
          </w:p>
          <w:p>
            <w:pPr>
              <w:ind w:firstLine="480"/>
              <w:rPr>
                <w:kern w:val="0"/>
              </w:rPr>
            </w:pPr>
          </w:p>
        </w:tc>
      </w:tr>
    </w:tbl>
    <w:p>
      <w:pPr>
        <w:widowControl/>
        <w:ind w:firstLine="480"/>
        <w:jc w:val="left"/>
        <w:rPr>
          <w:rFonts w:cs="Times New Roman" w:asciiTheme="minorEastAsia" w:hAnsiTheme="minorEastAsia"/>
          <w:szCs w:val="20"/>
        </w:rPr>
      </w:pPr>
      <w:r>
        <w:rPr>
          <w:rFonts w:cs="Times New Roman" w:asciiTheme="minorEastAsia" w:hAnsiTheme="minorEastAsia"/>
          <w:szCs w:val="20"/>
        </w:rPr>
        <w:br w:type="page"/>
      </w:r>
    </w:p>
    <w:p>
      <w:pPr>
        <w:pStyle w:val="4"/>
      </w:pPr>
      <w:bookmarkStart w:id="56" w:name="_Toc376855814"/>
      <w:bookmarkStart w:id="57" w:name="_Toc458883640"/>
      <w:bookmarkStart w:id="58" w:name="_Toc341946646"/>
      <w:bookmarkStart w:id="59" w:name="_Toc68101067"/>
      <w:r>
        <w:rPr>
          <w:rFonts w:hint="eastAsia"/>
        </w:rPr>
        <w:t>三、区域环境质量</w:t>
      </w:r>
      <w:bookmarkEnd w:id="56"/>
      <w:bookmarkEnd w:id="57"/>
      <w:bookmarkEnd w:id="58"/>
      <w:r>
        <w:rPr>
          <w:rFonts w:hint="eastAsia"/>
        </w:rPr>
        <w:t>现状、环境保护目标及评价标准</w:t>
      </w:r>
      <w:bookmarkEnd w:id="59"/>
    </w:p>
    <w:tbl>
      <w:tblPr>
        <w:tblStyle w:val="36"/>
        <w:tblW w:w="93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84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59" w:type="dxa"/>
            <w:vAlign w:val="center"/>
          </w:tcPr>
          <w:p>
            <w:pPr>
              <w:adjustRightInd w:val="0"/>
              <w:snapToGrid w:val="0"/>
              <w:ind w:firstLine="0" w:firstLineChars="0"/>
              <w:rPr>
                <w:rFonts w:cs="Times New Roman" w:asciiTheme="minorEastAsia" w:hAnsiTheme="minorEastAsia"/>
                <w:b/>
                <w:szCs w:val="24"/>
              </w:rPr>
            </w:pPr>
          </w:p>
          <w:p>
            <w:pPr>
              <w:adjustRightInd w:val="0"/>
              <w:snapToGrid w:val="0"/>
              <w:ind w:firstLine="0" w:firstLineChars="0"/>
              <w:jc w:val="center"/>
              <w:rPr>
                <w:rFonts w:cs="Times New Roman" w:asciiTheme="minorEastAsia" w:hAnsiTheme="minorEastAsia"/>
                <w:b/>
                <w:szCs w:val="24"/>
              </w:rPr>
            </w:pPr>
            <w:r>
              <w:rPr>
                <w:rFonts w:hint="eastAsia" w:cs="Times New Roman" w:asciiTheme="minorEastAsia" w:hAnsiTheme="minorEastAsia"/>
                <w:b/>
                <w:szCs w:val="24"/>
              </w:rPr>
              <w:t>区域环境质量现状</w:t>
            </w:r>
          </w:p>
        </w:tc>
        <w:tc>
          <w:tcPr>
            <w:tcW w:w="8423" w:type="dxa"/>
          </w:tcPr>
          <w:p>
            <w:pPr>
              <w:pStyle w:val="33"/>
              <w:spacing w:before="0" w:after="0" w:line="360" w:lineRule="auto"/>
              <w:ind w:firstLine="482"/>
            </w:pPr>
            <w:r>
              <w:t>1</w:t>
            </w:r>
            <w:r>
              <w:rPr>
                <w:rFonts w:hint="eastAsia"/>
              </w:rPr>
              <w:t>、大气环境</w:t>
            </w:r>
          </w:p>
          <w:p>
            <w:pPr>
              <w:ind w:firstLine="480"/>
            </w:pPr>
            <w:r>
              <w:rPr>
                <w:rFonts w:hint="eastAsia"/>
              </w:rPr>
              <w:t>本项目位于姚安县内，根据《2019年楚雄州环境质量状况》，2019年</w:t>
            </w:r>
            <w:r>
              <w:t>姚安县监测有效天数361天，其中“优”为241天，“良”为119天，“轻度污染”为1天，优良率为99.7%。PM</w:t>
            </w:r>
            <w:r>
              <w:rPr>
                <w:vertAlign w:val="subscript"/>
              </w:rPr>
              <w:t>10</w:t>
            </w:r>
            <w:r>
              <w:t>年均值为22μg/m</w:t>
            </w:r>
            <w:r>
              <w:rPr>
                <w:vertAlign w:val="superscript"/>
              </w:rPr>
              <w:t>3</w:t>
            </w:r>
            <w:r>
              <w:t>（一级）、PM</w:t>
            </w:r>
            <w:r>
              <w:rPr>
                <w:vertAlign w:val="subscript"/>
              </w:rPr>
              <w:t>2.5</w:t>
            </w:r>
            <w:r>
              <w:t>为12μg/m</w:t>
            </w:r>
            <w:r>
              <w:rPr>
                <w:vertAlign w:val="superscript"/>
              </w:rPr>
              <w:t>3</w:t>
            </w:r>
            <w:r>
              <w:t>（一级）、SO</w:t>
            </w:r>
            <w:r>
              <w:rPr>
                <w:vertAlign w:val="subscript"/>
              </w:rPr>
              <w:t>2</w:t>
            </w:r>
            <w:r>
              <w:t>为7μg/m</w:t>
            </w:r>
            <w:r>
              <w:rPr>
                <w:vertAlign w:val="superscript"/>
              </w:rPr>
              <w:t>3</w:t>
            </w:r>
            <w:r>
              <w:t>（一级）、NO</w:t>
            </w:r>
            <w:r>
              <w:rPr>
                <w:vertAlign w:val="subscript"/>
              </w:rPr>
              <w:t>2</w:t>
            </w:r>
            <w:r>
              <w:t>为10μg/m</w:t>
            </w:r>
            <w:r>
              <w:rPr>
                <w:vertAlign w:val="superscript"/>
              </w:rPr>
              <w:t>3</w:t>
            </w:r>
            <w:r>
              <w:t>（一级）、CO为0.7mg/m</w:t>
            </w:r>
            <w:r>
              <w:rPr>
                <w:vertAlign w:val="superscript"/>
              </w:rPr>
              <w:t>3</w:t>
            </w:r>
            <w:r>
              <w:t>、O</w:t>
            </w:r>
            <w:r>
              <w:rPr>
                <w:vertAlign w:val="subscript"/>
              </w:rPr>
              <w:t>3-8h</w:t>
            </w:r>
            <w:r>
              <w:t>为92μg/m</w:t>
            </w:r>
            <w:r>
              <w:rPr>
                <w:vertAlign w:val="superscript"/>
              </w:rPr>
              <w:t>3</w:t>
            </w:r>
            <w:r>
              <w:rPr>
                <w:rFonts w:hint="eastAsia"/>
              </w:rPr>
              <w:t>。同时根据楚雄州生态环境局发布的2020年楚雄州县级城市环境空气质量月报，姚安县2020年姚安县城环境空气指标均为达标。项目区姚安县为空气质量达标区。</w:t>
            </w:r>
          </w:p>
          <w:p>
            <w:pPr>
              <w:ind w:firstLine="480"/>
            </w:pPr>
            <w:r>
              <w:rPr>
                <w:rFonts w:hint="eastAsia"/>
              </w:rPr>
              <w:t>本项目位于</w:t>
            </w:r>
            <w:r>
              <w:rPr>
                <w:rFonts w:hint="eastAsia" w:ascii="宋体" w:eastAsia="宋体" w:cs="宋体"/>
                <w:kern w:val="0"/>
                <w:szCs w:val="24"/>
                <w:lang w:val="zh-CN"/>
              </w:rPr>
              <w:t>姚安县栋川镇下新屯村委会</w:t>
            </w:r>
            <w:r>
              <w:rPr>
                <w:rFonts w:hint="eastAsia"/>
              </w:rPr>
              <w:t>，地处乡镇地区，属于</w:t>
            </w:r>
            <w:r>
              <w:t>《环境空气质量标准》（GB3095-</w:t>
            </w:r>
            <w:r>
              <w:rPr>
                <w:rFonts w:hint="eastAsia"/>
              </w:rPr>
              <w:t>2012）的</w:t>
            </w:r>
            <w:r>
              <w:t>二类区。</w:t>
            </w:r>
            <w:r>
              <w:rPr>
                <w:rFonts w:hint="eastAsia"/>
              </w:rPr>
              <w:t>经现场踏勘，项目周边除了受乡村生产生活影响外，无较大工业废气污染源，项目区环境空气质量较好。</w:t>
            </w:r>
          </w:p>
          <w:p>
            <w:pPr>
              <w:pStyle w:val="33"/>
              <w:spacing w:before="0" w:after="0" w:line="360" w:lineRule="auto"/>
              <w:ind w:firstLine="482"/>
            </w:pPr>
            <w:r>
              <w:t>2</w:t>
            </w:r>
            <w:r>
              <w:rPr>
                <w:rFonts w:hint="eastAsia"/>
              </w:rPr>
              <w:t>、地表水环境</w:t>
            </w:r>
          </w:p>
          <w:p>
            <w:pPr>
              <w:adjustRightInd w:val="0"/>
              <w:snapToGrid w:val="0"/>
              <w:ind w:firstLine="480"/>
            </w:pPr>
            <w:r>
              <w:rPr>
                <w:rFonts w:hint="eastAsia"/>
              </w:rPr>
              <w:t>根据《2019年楚雄州环境质量状况》，和同时根据楚雄州生态环境局发布的全州主要河流水质监测状况月报，</w:t>
            </w:r>
            <w:r>
              <w:t>姚安县蜻蛉河王家桥监测断面水质类别均为</w:t>
            </w:r>
            <w:r>
              <w:rPr>
                <w:rFonts w:hint="eastAsia" w:ascii="宋体" w:hAnsi="宋体" w:eastAsia="宋体" w:cs="宋体"/>
              </w:rPr>
              <w:t>Ⅳ</w:t>
            </w:r>
            <w:r>
              <w:t>类，</w:t>
            </w:r>
            <w:r>
              <w:rPr>
                <w:rFonts w:hint="eastAsia"/>
              </w:rPr>
              <w:t>水质达到水功能区划水质目标要求。本项目附近地表水为项目东面约3040m处的蜻岭河。</w:t>
            </w:r>
          </w:p>
          <w:p>
            <w:pPr>
              <w:pStyle w:val="33"/>
              <w:spacing w:before="0" w:after="0" w:line="360" w:lineRule="auto"/>
              <w:ind w:firstLine="482"/>
            </w:pPr>
            <w:r>
              <w:t>3</w:t>
            </w:r>
            <w:r>
              <w:rPr>
                <w:rFonts w:hint="eastAsia"/>
              </w:rPr>
              <w:t>、声环境</w:t>
            </w:r>
          </w:p>
          <w:p>
            <w:pPr>
              <w:ind w:firstLine="480"/>
              <w:rPr>
                <w:kern w:val="44"/>
              </w:rPr>
            </w:pPr>
            <w:r>
              <w:rPr>
                <w:rFonts w:hint="eastAsia"/>
              </w:rPr>
              <w:t>本项目位于姚安县栋川镇下新屯村委会，地处乡镇地区，经现场踏勘，项目区除了受村镇生产生活影响外，项目区无其他工业噪声污染源，项目区声环境质量较好。</w:t>
            </w:r>
          </w:p>
          <w:p>
            <w:pPr>
              <w:pStyle w:val="33"/>
              <w:spacing w:before="0" w:after="0" w:line="360" w:lineRule="auto"/>
              <w:ind w:firstLine="482"/>
            </w:pPr>
            <w:r>
              <w:t>4</w:t>
            </w:r>
            <w:r>
              <w:rPr>
                <w:rFonts w:hint="eastAsia"/>
              </w:rPr>
              <w:t>、生态环境</w:t>
            </w:r>
          </w:p>
          <w:p>
            <w:pPr>
              <w:widowControl/>
              <w:ind w:firstLine="480"/>
              <w:jc w:val="left"/>
              <w:rPr>
                <w:rFonts w:ascii="宋体" w:hAnsi="宋体" w:eastAsia="宋体" w:cs="宋体"/>
                <w:kern w:val="0"/>
                <w:szCs w:val="24"/>
                <w:lang w:bidi="ar"/>
              </w:rPr>
            </w:pPr>
            <w:r>
              <w:rPr>
                <w:rFonts w:hint="eastAsia" w:ascii="宋体" w:hAnsi="宋体" w:eastAsia="宋体" w:cs="宋体"/>
                <w:kern w:val="0"/>
                <w:szCs w:val="24"/>
                <w:lang w:bidi="ar"/>
              </w:rPr>
              <w:t>根据现场调查，项目区域生态环境为乡村生态环境，因人类活动影响，项目区内植被为较为常见的天然次生植被。评价区内生态环境一般，项目拟使用地范围内没有发现国家和省级重点保护野生动、植物，无国家保护动物分布。</w:t>
            </w:r>
          </w:p>
          <w:p>
            <w:pPr>
              <w:widowControl/>
              <w:ind w:firstLine="480"/>
              <w:jc w:val="left"/>
              <w:rPr>
                <w:rFonts w:ascii="宋体" w:hAnsi="宋体" w:eastAsia="宋体" w:cs="宋体"/>
                <w:kern w:val="0"/>
                <w:szCs w:val="24"/>
                <w:lang w:bidi="ar"/>
              </w:rPr>
            </w:pPr>
          </w:p>
          <w:p>
            <w:pPr>
              <w:widowControl/>
              <w:ind w:firstLine="480"/>
              <w:jc w:val="left"/>
              <w:rPr>
                <w:rFonts w:ascii="宋体" w:hAnsi="宋体" w:eastAsia="宋体" w:cs="宋体"/>
                <w:kern w:val="0"/>
                <w:szCs w:val="24"/>
                <w:lang w:bidi="ar"/>
              </w:rPr>
            </w:pPr>
          </w:p>
          <w:p>
            <w:pPr>
              <w:widowControl/>
              <w:ind w:firstLine="480"/>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59" w:type="dxa"/>
            <w:vAlign w:val="center"/>
          </w:tcPr>
          <w:p>
            <w:pPr>
              <w:adjustRightInd w:val="0"/>
              <w:snapToGrid w:val="0"/>
              <w:ind w:firstLine="0" w:firstLineChars="0"/>
              <w:rPr>
                <w:rFonts w:cs="Times New Roman" w:asciiTheme="minorEastAsia" w:hAnsiTheme="minorEastAsia"/>
                <w:b/>
                <w:szCs w:val="24"/>
              </w:rPr>
            </w:pPr>
            <w:r>
              <w:rPr>
                <w:rFonts w:hint="eastAsia" w:cs="Times New Roman" w:asciiTheme="minorEastAsia" w:hAnsiTheme="minorEastAsia"/>
                <w:b/>
                <w:szCs w:val="24"/>
              </w:rPr>
              <w:t>环境保护目标</w:t>
            </w:r>
          </w:p>
        </w:tc>
        <w:tc>
          <w:tcPr>
            <w:tcW w:w="8423" w:type="dxa"/>
          </w:tcPr>
          <w:p>
            <w:pPr>
              <w:pStyle w:val="33"/>
              <w:spacing w:before="0" w:after="0" w:line="360" w:lineRule="auto"/>
              <w:ind w:firstLine="482"/>
            </w:pPr>
            <w:r>
              <w:rPr>
                <w:rFonts w:hint="eastAsia"/>
              </w:rPr>
              <w:t>1、大气环境</w:t>
            </w:r>
          </w:p>
          <w:p>
            <w:pPr>
              <w:widowControl/>
              <w:ind w:firstLine="480"/>
              <w:jc w:val="left"/>
              <w:rPr>
                <w:rFonts w:eastAsia="宋体" w:cs="Times New Roman"/>
              </w:rPr>
            </w:pPr>
            <w:r>
              <w:rPr>
                <w:rFonts w:hint="eastAsia"/>
              </w:rPr>
              <w:t>大气环境</w:t>
            </w:r>
            <w:r>
              <w:rPr>
                <w:rFonts w:cs="Times New Roman"/>
              </w:rPr>
              <w:t>按照《环境空气质量标准》（GB3095</w:t>
            </w:r>
            <w:r>
              <w:rPr>
                <w:rFonts w:ascii="宋体" w:hAnsi="宋体" w:eastAsia="宋体" w:cs="Times New Roman"/>
              </w:rPr>
              <w:t>-</w:t>
            </w:r>
            <w:r>
              <w:rPr>
                <w:rFonts w:cs="Times New Roman"/>
              </w:rPr>
              <w:t>2012）</w:t>
            </w:r>
            <w:r>
              <w:rPr>
                <w:rFonts w:hint="eastAsia" w:ascii="宋体" w:hAnsi="宋体" w:eastAsia="宋体" w:cs="宋体"/>
                <w:kern w:val="0"/>
                <w:szCs w:val="24"/>
                <w:lang w:bidi="ar"/>
              </w:rPr>
              <w:t>二类环境空气功能区进行保护</w:t>
            </w:r>
            <w:r>
              <w:rPr>
                <w:rFonts w:hint="eastAsia" w:eastAsia="宋体" w:cs="Times New Roman"/>
              </w:rPr>
              <w:t>，</w:t>
            </w:r>
            <w:r>
              <w:rPr>
                <w:rFonts w:hint="eastAsia"/>
              </w:rPr>
              <w:t>保护目标为卫生院周边500m范围内的村庄、居民。</w:t>
            </w:r>
          </w:p>
          <w:p>
            <w:pPr>
              <w:pStyle w:val="33"/>
              <w:spacing w:before="0" w:after="0" w:line="360" w:lineRule="auto"/>
              <w:ind w:firstLine="482"/>
            </w:pPr>
            <w:r>
              <w:rPr>
                <w:rFonts w:hint="eastAsia"/>
              </w:rPr>
              <w:t>2、声环境</w:t>
            </w:r>
          </w:p>
          <w:p>
            <w:pPr>
              <w:widowControl/>
              <w:ind w:firstLine="480"/>
              <w:jc w:val="left"/>
              <w:rPr>
                <w:rFonts w:ascii="宋体" w:hAnsi="宋体" w:eastAsia="宋体" w:cs="宋体"/>
                <w:kern w:val="0"/>
                <w:szCs w:val="24"/>
                <w:lang w:bidi="ar"/>
              </w:rPr>
            </w:pPr>
            <w:r>
              <w:rPr>
                <w:rFonts w:hint="eastAsia"/>
              </w:rPr>
              <w:t>声环境</w:t>
            </w:r>
            <w:r>
              <w:rPr>
                <w:rFonts w:cs="Times New Roman"/>
              </w:rPr>
              <w:t>按照《声环境质量标准》（GB3096</w:t>
            </w:r>
            <w:r>
              <w:rPr>
                <w:rFonts w:ascii="宋体" w:hAnsi="宋体" w:eastAsia="宋体" w:cs="Times New Roman"/>
              </w:rPr>
              <w:t>-</w:t>
            </w:r>
            <w:r>
              <w:rPr>
                <w:rFonts w:cs="Times New Roman"/>
              </w:rPr>
              <w:t>2008）</w:t>
            </w:r>
            <w:r>
              <w:rPr>
                <w:rFonts w:hint="eastAsia" w:eastAsia="宋体" w:cs="Times New Roman"/>
                <w:kern w:val="0"/>
                <w:szCs w:val="24"/>
                <w:lang w:bidi="ar"/>
              </w:rPr>
              <w:t>2</w:t>
            </w:r>
            <w:r>
              <w:rPr>
                <w:rFonts w:hint="eastAsia" w:ascii="宋体" w:hAnsi="宋体" w:eastAsia="宋体" w:cs="宋体"/>
                <w:kern w:val="0"/>
                <w:szCs w:val="24"/>
                <w:lang w:bidi="ar"/>
              </w:rPr>
              <w:t>类环境噪声功能区进行保护，保护范围为项目区周边</w:t>
            </w:r>
            <w:r>
              <w:rPr>
                <w:rFonts w:eastAsia="宋体" w:cs="Times New Roman"/>
                <w:kern w:val="0"/>
                <w:szCs w:val="24"/>
                <w:lang w:bidi="ar"/>
              </w:rPr>
              <w:t>50m</w:t>
            </w:r>
            <w:r>
              <w:rPr>
                <w:rFonts w:hint="eastAsia" w:ascii="宋体" w:hAnsi="宋体" w:eastAsia="宋体" w:cs="宋体"/>
                <w:kern w:val="0"/>
                <w:szCs w:val="24"/>
                <w:lang w:bidi="ar"/>
              </w:rPr>
              <w:t>范围内的村庄、居民。</w:t>
            </w:r>
          </w:p>
          <w:p>
            <w:pPr>
              <w:pStyle w:val="33"/>
              <w:spacing w:before="0" w:after="0" w:line="360" w:lineRule="auto"/>
              <w:ind w:firstLine="482"/>
            </w:pPr>
            <w:r>
              <w:rPr>
                <w:rFonts w:hint="eastAsia"/>
              </w:rPr>
              <w:t>3、地下水环境</w:t>
            </w:r>
          </w:p>
          <w:p>
            <w:pPr>
              <w:ind w:firstLine="480"/>
              <w:rPr>
                <w:rFonts w:cs="Times New Roman"/>
              </w:rPr>
            </w:pPr>
            <w:r>
              <w:rPr>
                <w:rFonts w:hint="eastAsia" w:cs="Times New Roman"/>
              </w:rPr>
              <w:t>根据调查，项目厂界500m范围内居民均使用自来水，无地下水集中式饮用水源和热水、矿泉水、温泉等特殊地下水资源，无地下水敏感目标。</w:t>
            </w:r>
          </w:p>
          <w:p>
            <w:pPr>
              <w:pStyle w:val="33"/>
              <w:spacing w:before="0" w:after="0" w:line="360" w:lineRule="auto"/>
              <w:ind w:firstLine="482"/>
            </w:pPr>
            <w:r>
              <w:rPr>
                <w:rFonts w:hint="eastAsia"/>
              </w:rPr>
              <w:t>4、地表水环境</w:t>
            </w:r>
          </w:p>
          <w:p>
            <w:pPr>
              <w:ind w:firstLine="480"/>
            </w:pPr>
            <w:r>
              <w:rPr>
                <w:rFonts w:hint="eastAsia"/>
              </w:rPr>
              <w:t>项目附近主要地表水为卫生院东面约3040m处的蜻岭河。根据</w:t>
            </w:r>
            <w:r>
              <w:rPr>
                <w:rFonts w:hint="eastAsia" w:eastAsia="宋体" w:cs="Times New Roman"/>
              </w:rPr>
              <w:t>《云南省地表水环境功能区划》（2010-2020），蜻蛉河（源头～入龙川江段）水环境功能为工业用水、农业用水，水质类别为</w:t>
            </w:r>
            <w:r>
              <w:rPr>
                <w:rFonts w:hint="eastAsia" w:ascii="宋体" w:hAnsi="宋体" w:cs="宋体"/>
              </w:rPr>
              <w:t>Ⅳ</w:t>
            </w:r>
            <w:r>
              <w:rPr>
                <w:rFonts w:hint="eastAsia" w:eastAsia="宋体" w:cs="Times New Roman"/>
              </w:rPr>
              <w:t>类，项目区地表水环境</w:t>
            </w:r>
            <w:r>
              <w:rPr>
                <w:rFonts w:hint="eastAsia"/>
              </w:rPr>
              <w:t>按</w:t>
            </w:r>
            <w:r>
              <w:rPr>
                <w:rFonts w:hint="eastAsia" w:ascii="宋体" w:hAnsi="宋体" w:cs="宋体"/>
              </w:rPr>
              <w:t>Ⅳ</w:t>
            </w:r>
            <w:r>
              <w:rPr>
                <w:rFonts w:hint="eastAsia" w:cs="Times New Roman"/>
              </w:rPr>
              <w:t>类标准进行保护。</w:t>
            </w:r>
          </w:p>
          <w:p>
            <w:pPr>
              <w:ind w:firstLine="480"/>
              <w:rPr>
                <w:rFonts w:cs="Times New Roman" w:asciiTheme="minorEastAsia" w:hAnsiTheme="minorEastAsia"/>
                <w:bCs/>
              </w:rPr>
            </w:pPr>
            <w:r>
              <w:rPr>
                <w:rFonts w:hint="eastAsia"/>
                <w:kern w:val="0"/>
              </w:rPr>
              <w:t>经现场踏勘</w:t>
            </w:r>
            <w:r>
              <w:rPr>
                <w:rFonts w:hint="eastAsia"/>
                <w:spacing w:val="-48"/>
                <w:kern w:val="0"/>
              </w:rPr>
              <w:t>，</w:t>
            </w:r>
            <w:r>
              <w:rPr>
                <w:rFonts w:hint="eastAsia"/>
                <w:kern w:val="0"/>
              </w:rPr>
              <w:t>本项目场地及其周围内没有需要特殊保护的文物</w:t>
            </w:r>
            <w:r>
              <w:rPr>
                <w:rFonts w:hint="eastAsia"/>
                <w:spacing w:val="-48"/>
                <w:kern w:val="0"/>
              </w:rPr>
              <w:t>、</w:t>
            </w:r>
            <w:r>
              <w:rPr>
                <w:rFonts w:hint="eastAsia"/>
                <w:kern w:val="0"/>
              </w:rPr>
              <w:t>名胜、古迹和文化及自然遗产。</w:t>
            </w:r>
            <w:r>
              <w:rPr>
                <w:rFonts w:cs="Times New Roman" w:asciiTheme="minorEastAsia" w:hAnsiTheme="minorEastAsia"/>
                <w:bCs/>
              </w:rPr>
              <w:t>本项目主要保护目标</w:t>
            </w:r>
            <w:r>
              <w:rPr>
                <w:rFonts w:hint="eastAsia" w:cs="Times New Roman" w:asciiTheme="minorEastAsia" w:hAnsiTheme="minorEastAsia"/>
                <w:bCs/>
              </w:rPr>
              <w:t>见下表</w:t>
            </w:r>
            <w:r>
              <w:rPr>
                <w:rFonts w:cs="Times New Roman" w:asciiTheme="minorEastAsia" w:hAnsiTheme="minorEastAsia"/>
                <w:bCs/>
              </w:rPr>
              <w:t>。</w:t>
            </w:r>
          </w:p>
          <w:p>
            <w:pPr>
              <w:pStyle w:val="66"/>
              <w:ind w:firstLine="482"/>
              <w:rPr>
                <w:rFonts w:asciiTheme="minorEastAsia" w:hAnsiTheme="minorEastAsia" w:eastAsiaTheme="minorEastAsia"/>
              </w:rPr>
            </w:pPr>
          </w:p>
          <w:p>
            <w:pPr>
              <w:pStyle w:val="66"/>
              <w:ind w:firstLine="482"/>
              <w:rPr>
                <w:rFonts w:asciiTheme="minorEastAsia" w:hAnsiTheme="minorEastAsia" w:eastAsiaTheme="minorEastAsia"/>
              </w:rPr>
            </w:pPr>
          </w:p>
          <w:p>
            <w:pPr>
              <w:pStyle w:val="66"/>
              <w:ind w:firstLine="482"/>
              <w:rPr>
                <w:rFonts w:asciiTheme="minorEastAsia" w:hAnsiTheme="minorEastAsia" w:eastAsiaTheme="minorEastAsia"/>
              </w:rPr>
            </w:pPr>
          </w:p>
          <w:p>
            <w:pPr>
              <w:pStyle w:val="66"/>
              <w:ind w:firstLine="482"/>
              <w:rPr>
                <w:rFonts w:asciiTheme="minorEastAsia" w:hAnsiTheme="minorEastAsia" w:eastAsiaTheme="minorEastAsia"/>
              </w:rPr>
            </w:pPr>
          </w:p>
          <w:p>
            <w:pPr>
              <w:pStyle w:val="66"/>
              <w:ind w:firstLine="482"/>
              <w:rPr>
                <w:rFonts w:asciiTheme="minorEastAsia" w:hAnsiTheme="minorEastAsia" w:eastAsiaTheme="minorEastAsia"/>
              </w:rPr>
            </w:pPr>
          </w:p>
          <w:p>
            <w:pPr>
              <w:pStyle w:val="66"/>
              <w:ind w:firstLine="482"/>
              <w:rPr>
                <w:rFonts w:asciiTheme="minorEastAsia" w:hAnsiTheme="minorEastAsia" w:eastAsiaTheme="minorEastAsia"/>
              </w:rPr>
            </w:pPr>
          </w:p>
          <w:p>
            <w:pPr>
              <w:pStyle w:val="66"/>
              <w:ind w:firstLine="482"/>
              <w:rPr>
                <w:rFonts w:asciiTheme="minorEastAsia" w:hAnsiTheme="minorEastAsia" w:eastAsiaTheme="minorEastAsia"/>
              </w:rPr>
            </w:pPr>
          </w:p>
          <w:p>
            <w:pPr>
              <w:pStyle w:val="66"/>
              <w:ind w:firstLine="482"/>
              <w:rPr>
                <w:rFonts w:asciiTheme="minorEastAsia" w:hAnsiTheme="minorEastAsia" w:eastAsiaTheme="minorEastAsia"/>
              </w:rPr>
            </w:pPr>
          </w:p>
          <w:p>
            <w:pPr>
              <w:pStyle w:val="66"/>
              <w:ind w:firstLine="482"/>
              <w:rPr>
                <w:rFonts w:asciiTheme="minorEastAsia" w:hAnsiTheme="minorEastAsia" w:eastAsiaTheme="minorEastAsia"/>
              </w:rPr>
            </w:pPr>
          </w:p>
          <w:p>
            <w:pPr>
              <w:pStyle w:val="66"/>
              <w:ind w:firstLine="482"/>
              <w:rPr>
                <w:rFonts w:asciiTheme="minorEastAsia" w:hAnsiTheme="minorEastAsia" w:eastAsiaTheme="minorEastAsia"/>
              </w:rPr>
            </w:pPr>
          </w:p>
          <w:p>
            <w:pPr>
              <w:pStyle w:val="66"/>
              <w:ind w:firstLine="482"/>
              <w:rPr>
                <w:rFonts w:asciiTheme="minorEastAsia" w:hAnsiTheme="minorEastAsia" w:eastAsiaTheme="minorEastAsia"/>
              </w:rPr>
            </w:pPr>
          </w:p>
          <w:p>
            <w:pPr>
              <w:pStyle w:val="66"/>
              <w:ind w:firstLine="482"/>
              <w:rPr>
                <w:rFonts w:asciiTheme="minorEastAsia" w:hAnsiTheme="minorEastAsia" w:eastAsiaTheme="minorEastAsia"/>
              </w:rPr>
            </w:pPr>
          </w:p>
          <w:p>
            <w:pPr>
              <w:pStyle w:val="66"/>
              <w:ind w:firstLine="482"/>
              <w:rPr>
                <w:rFonts w:asciiTheme="minorEastAsia" w:hAnsiTheme="minorEastAsia" w:eastAsiaTheme="minorEastAsia"/>
              </w:rPr>
            </w:pPr>
          </w:p>
          <w:p>
            <w:pPr>
              <w:pStyle w:val="66"/>
              <w:ind w:firstLine="482"/>
              <w:rPr>
                <w:rFonts w:asciiTheme="minorEastAsia" w:hAnsiTheme="minorEastAsia" w:eastAsiaTheme="minorEastAsia"/>
              </w:rPr>
            </w:pPr>
          </w:p>
          <w:p>
            <w:pPr>
              <w:pStyle w:val="66"/>
              <w:ind w:firstLine="482"/>
              <w:rPr>
                <w:rFonts w:asciiTheme="minorEastAsia" w:hAnsiTheme="minorEastAsia" w:eastAsiaTheme="minorEastAsia"/>
              </w:rPr>
            </w:pPr>
          </w:p>
          <w:p>
            <w:pPr>
              <w:pStyle w:val="66"/>
              <w:ind w:firstLine="482"/>
              <w:rPr>
                <w:rFonts w:asciiTheme="minorEastAsia" w:hAnsiTheme="minorEastAsia" w:eastAsiaTheme="minorEastAsia"/>
              </w:rPr>
            </w:pPr>
          </w:p>
          <w:p>
            <w:pPr>
              <w:pStyle w:val="66"/>
              <w:ind w:firstLine="482"/>
              <w:rPr>
                <w:rFonts w:asciiTheme="minorEastAsia" w:hAnsiTheme="minorEastAsia" w:eastAsiaTheme="minorEastAsia"/>
              </w:rPr>
            </w:pPr>
            <w:r>
              <w:rPr>
                <w:rFonts w:asciiTheme="minorEastAsia" w:hAnsiTheme="minorEastAsia" w:eastAsiaTheme="minorEastAsia"/>
              </w:rPr>
              <w:t>表</w:t>
            </w:r>
            <w:r>
              <w:t>3-</w:t>
            </w:r>
            <w:r>
              <w:rPr>
                <w:rFonts w:hint="eastAsia"/>
              </w:rPr>
              <w:t xml:space="preserve">1  </w:t>
            </w:r>
            <w:r>
              <w:rPr>
                <w:rFonts w:asciiTheme="minorEastAsia" w:hAnsiTheme="minorEastAsia" w:eastAsiaTheme="minorEastAsia"/>
              </w:rPr>
              <w:t>主要保护目标一览表</w:t>
            </w:r>
          </w:p>
          <w:tbl>
            <w:tblPr>
              <w:tblStyle w:val="36"/>
              <w:tblW w:w="8207"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010"/>
              <w:gridCol w:w="1595"/>
              <w:gridCol w:w="1066"/>
              <w:gridCol w:w="682"/>
              <w:gridCol w:w="1354"/>
              <w:gridCol w:w="2500"/>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jc w:val="center"/>
              </w:trPr>
              <w:tc>
                <w:tcPr>
                  <w:tcW w:w="1010" w:type="dxa"/>
                  <w:tcBorders>
                    <w:tl2br w:val="nil"/>
                    <w:tr2bl w:val="nil"/>
                  </w:tcBorders>
                  <w:vAlign w:val="center"/>
                </w:tcPr>
                <w:p>
                  <w:pPr>
                    <w:pStyle w:val="146"/>
                    <w:spacing w:line="0" w:lineRule="atLeast"/>
                    <w:rPr>
                      <w:szCs w:val="21"/>
                    </w:rPr>
                  </w:pPr>
                  <w:r>
                    <w:rPr>
                      <w:szCs w:val="21"/>
                    </w:rPr>
                    <w:t>项目</w:t>
                  </w:r>
                </w:p>
              </w:tc>
              <w:tc>
                <w:tcPr>
                  <w:tcW w:w="1595" w:type="dxa"/>
                  <w:tcBorders>
                    <w:tl2br w:val="nil"/>
                    <w:tr2bl w:val="nil"/>
                  </w:tcBorders>
                  <w:vAlign w:val="center"/>
                </w:tcPr>
                <w:p>
                  <w:pPr>
                    <w:pStyle w:val="146"/>
                    <w:spacing w:line="0" w:lineRule="atLeast"/>
                    <w:rPr>
                      <w:szCs w:val="21"/>
                    </w:rPr>
                  </w:pPr>
                  <w:r>
                    <w:rPr>
                      <w:szCs w:val="21"/>
                    </w:rPr>
                    <w:t>保护目标</w:t>
                  </w:r>
                </w:p>
              </w:tc>
              <w:tc>
                <w:tcPr>
                  <w:tcW w:w="1066" w:type="dxa"/>
                  <w:tcBorders>
                    <w:tl2br w:val="nil"/>
                    <w:tr2bl w:val="nil"/>
                  </w:tcBorders>
                  <w:vAlign w:val="center"/>
                </w:tcPr>
                <w:p>
                  <w:pPr>
                    <w:pStyle w:val="146"/>
                    <w:spacing w:line="0" w:lineRule="atLeast"/>
                    <w:rPr>
                      <w:szCs w:val="21"/>
                    </w:rPr>
                  </w:pPr>
                  <w:r>
                    <w:rPr>
                      <w:szCs w:val="21"/>
                    </w:rPr>
                    <w:t>距离</w:t>
                  </w:r>
                </w:p>
              </w:tc>
              <w:tc>
                <w:tcPr>
                  <w:tcW w:w="682" w:type="dxa"/>
                  <w:tcBorders>
                    <w:right w:val="single" w:color="000000" w:sz="8" w:space="0"/>
                    <w:tl2br w:val="nil"/>
                    <w:tr2bl w:val="nil"/>
                  </w:tcBorders>
                  <w:vAlign w:val="center"/>
                </w:tcPr>
                <w:p>
                  <w:pPr>
                    <w:pStyle w:val="146"/>
                    <w:spacing w:line="0" w:lineRule="atLeast"/>
                    <w:rPr>
                      <w:szCs w:val="21"/>
                    </w:rPr>
                  </w:pPr>
                  <w:r>
                    <w:rPr>
                      <w:szCs w:val="21"/>
                    </w:rPr>
                    <w:t>人数</w:t>
                  </w:r>
                </w:p>
              </w:tc>
              <w:tc>
                <w:tcPr>
                  <w:tcW w:w="1354" w:type="dxa"/>
                  <w:tcBorders>
                    <w:left w:val="single" w:color="000000" w:sz="8" w:space="0"/>
                    <w:tl2br w:val="nil"/>
                    <w:tr2bl w:val="nil"/>
                  </w:tcBorders>
                  <w:vAlign w:val="center"/>
                </w:tcPr>
                <w:p>
                  <w:pPr>
                    <w:pStyle w:val="146"/>
                    <w:spacing w:line="0" w:lineRule="atLeast"/>
                    <w:rPr>
                      <w:szCs w:val="21"/>
                    </w:rPr>
                  </w:pPr>
                  <w:r>
                    <w:rPr>
                      <w:rFonts w:hint="eastAsia"/>
                      <w:szCs w:val="21"/>
                    </w:rPr>
                    <w:t>坐标</w:t>
                  </w:r>
                </w:p>
              </w:tc>
              <w:tc>
                <w:tcPr>
                  <w:tcW w:w="2500" w:type="dxa"/>
                  <w:tcBorders>
                    <w:tl2br w:val="nil"/>
                    <w:tr2bl w:val="nil"/>
                  </w:tcBorders>
                  <w:vAlign w:val="center"/>
                </w:tcPr>
                <w:p>
                  <w:pPr>
                    <w:pStyle w:val="146"/>
                    <w:spacing w:line="0" w:lineRule="atLeast"/>
                    <w:rPr>
                      <w:szCs w:val="21"/>
                    </w:rPr>
                  </w:pPr>
                  <w:r>
                    <w:rPr>
                      <w:szCs w:val="21"/>
                    </w:rPr>
                    <w:t>保护级别</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010" w:type="dxa"/>
                  <w:vMerge w:val="restart"/>
                  <w:tcBorders>
                    <w:tl2br w:val="nil"/>
                    <w:tr2bl w:val="nil"/>
                  </w:tcBorders>
                  <w:vAlign w:val="center"/>
                </w:tcPr>
                <w:p>
                  <w:pPr>
                    <w:pStyle w:val="146"/>
                    <w:spacing w:line="0" w:lineRule="atLeast"/>
                    <w:rPr>
                      <w:szCs w:val="21"/>
                    </w:rPr>
                  </w:pPr>
                  <w:r>
                    <w:rPr>
                      <w:szCs w:val="21"/>
                    </w:rPr>
                    <w:t>大气</w:t>
                  </w:r>
                </w:p>
                <w:p>
                  <w:pPr>
                    <w:pStyle w:val="146"/>
                    <w:spacing w:line="0" w:lineRule="atLeast"/>
                    <w:rPr>
                      <w:szCs w:val="21"/>
                    </w:rPr>
                  </w:pPr>
                  <w:r>
                    <w:rPr>
                      <w:szCs w:val="21"/>
                    </w:rPr>
                    <w:t>环境</w:t>
                  </w:r>
                  <w:r>
                    <w:rPr>
                      <w:rFonts w:hint="eastAsia"/>
                      <w:szCs w:val="21"/>
                    </w:rPr>
                    <w:t>、声环境</w:t>
                  </w:r>
                </w:p>
              </w:tc>
              <w:tc>
                <w:tcPr>
                  <w:tcW w:w="1595" w:type="dxa"/>
                  <w:tcBorders>
                    <w:tl2br w:val="nil"/>
                    <w:tr2bl w:val="nil"/>
                  </w:tcBorders>
                  <w:vAlign w:val="center"/>
                </w:tcPr>
                <w:p>
                  <w:pPr>
                    <w:pStyle w:val="146"/>
                    <w:spacing w:line="0" w:lineRule="atLeast"/>
                    <w:rPr>
                      <w:kern w:val="0"/>
                      <w:szCs w:val="21"/>
                      <w:lang w:val="zh-CN"/>
                    </w:rPr>
                  </w:pPr>
                  <w:r>
                    <w:rPr>
                      <w:rFonts w:hint="eastAsia"/>
                      <w:kern w:val="0"/>
                      <w:szCs w:val="21"/>
                    </w:rPr>
                    <w:t>下新屯村</w:t>
                  </w:r>
                </w:p>
              </w:tc>
              <w:tc>
                <w:tcPr>
                  <w:tcW w:w="1066" w:type="dxa"/>
                  <w:tcBorders>
                    <w:tl2br w:val="nil"/>
                    <w:tr2bl w:val="nil"/>
                  </w:tcBorders>
                  <w:vAlign w:val="center"/>
                </w:tcPr>
                <w:p>
                  <w:pPr>
                    <w:pStyle w:val="146"/>
                    <w:spacing w:line="0" w:lineRule="atLeast"/>
                    <w:rPr>
                      <w:kern w:val="0"/>
                      <w:szCs w:val="21"/>
                      <w:lang w:val="zh-CN"/>
                    </w:rPr>
                  </w:pPr>
                  <w:r>
                    <w:rPr>
                      <w:rFonts w:hint="eastAsia"/>
                      <w:kern w:val="0"/>
                      <w:szCs w:val="21"/>
                      <w:lang w:val="zh-CN"/>
                    </w:rPr>
                    <w:t>东</w:t>
                  </w:r>
                  <w:r>
                    <w:rPr>
                      <w:rFonts w:hint="eastAsia"/>
                      <w:kern w:val="0"/>
                      <w:szCs w:val="21"/>
                    </w:rPr>
                    <w:t>南</w:t>
                  </w:r>
                  <w:r>
                    <w:rPr>
                      <w:rFonts w:hint="eastAsia"/>
                      <w:kern w:val="0"/>
                      <w:szCs w:val="21"/>
                      <w:lang w:val="zh-CN"/>
                    </w:rPr>
                    <w:t>面，约</w:t>
                  </w:r>
                  <w:r>
                    <w:rPr>
                      <w:rFonts w:hint="eastAsia"/>
                      <w:kern w:val="0"/>
                      <w:szCs w:val="21"/>
                    </w:rPr>
                    <w:t>260</w:t>
                  </w:r>
                  <w:r>
                    <w:rPr>
                      <w:kern w:val="0"/>
                      <w:szCs w:val="21"/>
                    </w:rPr>
                    <w:t>m</w:t>
                  </w:r>
                </w:p>
              </w:tc>
              <w:tc>
                <w:tcPr>
                  <w:tcW w:w="682" w:type="dxa"/>
                  <w:tcBorders>
                    <w:right w:val="single" w:color="000000" w:sz="8" w:space="0"/>
                    <w:tl2br w:val="nil"/>
                    <w:tr2bl w:val="nil"/>
                  </w:tcBorders>
                  <w:vAlign w:val="center"/>
                </w:tcPr>
                <w:p>
                  <w:pPr>
                    <w:pStyle w:val="146"/>
                    <w:spacing w:line="0" w:lineRule="atLeast"/>
                    <w:rPr>
                      <w:kern w:val="0"/>
                      <w:szCs w:val="21"/>
                      <w:lang w:val="zh-CN"/>
                    </w:rPr>
                  </w:pPr>
                  <w:r>
                    <w:rPr>
                      <w:rFonts w:hint="eastAsia"/>
                      <w:kern w:val="0"/>
                      <w:szCs w:val="21"/>
                    </w:rPr>
                    <w:t>66户</w:t>
                  </w:r>
                  <w:r>
                    <w:rPr>
                      <w:kern w:val="0"/>
                      <w:szCs w:val="21"/>
                      <w:lang w:val="zh-CN"/>
                    </w:rPr>
                    <w:t>，</w:t>
                  </w:r>
                  <w:r>
                    <w:rPr>
                      <w:rFonts w:hint="eastAsia"/>
                      <w:kern w:val="0"/>
                      <w:szCs w:val="21"/>
                    </w:rPr>
                    <w:t>264</w:t>
                  </w:r>
                  <w:r>
                    <w:rPr>
                      <w:kern w:val="0"/>
                      <w:szCs w:val="21"/>
                      <w:lang w:val="zh-CN"/>
                    </w:rPr>
                    <w:t>人</w:t>
                  </w:r>
                </w:p>
              </w:tc>
              <w:tc>
                <w:tcPr>
                  <w:tcW w:w="1354" w:type="dxa"/>
                  <w:tcBorders>
                    <w:left w:val="single" w:color="000000" w:sz="8" w:space="0"/>
                    <w:tl2br w:val="nil"/>
                    <w:tr2bl w:val="nil"/>
                  </w:tcBorders>
                  <w:vAlign w:val="center"/>
                </w:tcPr>
                <w:p>
                  <w:pPr>
                    <w:pStyle w:val="146"/>
                    <w:spacing w:line="0" w:lineRule="atLeast"/>
                    <w:rPr>
                      <w:szCs w:val="21"/>
                    </w:rPr>
                  </w:pPr>
                  <w:r>
                    <w:rPr>
                      <w:rFonts w:hint="eastAsia"/>
                      <w:szCs w:val="21"/>
                    </w:rPr>
                    <w:t>E101.228414</w:t>
                  </w:r>
                </w:p>
                <w:p>
                  <w:pPr>
                    <w:spacing w:line="0" w:lineRule="atLeast"/>
                    <w:ind w:firstLine="0" w:firstLineChars="0"/>
                    <w:rPr>
                      <w:sz w:val="21"/>
                      <w:szCs w:val="21"/>
                    </w:rPr>
                  </w:pPr>
                  <w:r>
                    <w:rPr>
                      <w:rFonts w:hint="eastAsia"/>
                      <w:kern w:val="0"/>
                      <w:sz w:val="21"/>
                      <w:szCs w:val="21"/>
                    </w:rPr>
                    <w:t>N25.530498</w:t>
                  </w:r>
                </w:p>
              </w:tc>
              <w:tc>
                <w:tcPr>
                  <w:tcW w:w="2500" w:type="dxa"/>
                  <w:vMerge w:val="restart"/>
                  <w:tcBorders>
                    <w:tl2br w:val="nil"/>
                    <w:tr2bl w:val="nil"/>
                  </w:tcBorders>
                  <w:vAlign w:val="center"/>
                </w:tcPr>
                <w:p>
                  <w:pPr>
                    <w:pStyle w:val="146"/>
                    <w:spacing w:line="0" w:lineRule="atLeast"/>
                    <w:rPr>
                      <w:szCs w:val="21"/>
                    </w:rPr>
                  </w:pPr>
                  <w:r>
                    <w:rPr>
                      <w:szCs w:val="21"/>
                    </w:rPr>
                    <w:t>《环境空气质量标准》（GB3095-2012）二级</w:t>
                  </w:r>
                  <w:r>
                    <w:rPr>
                      <w:rFonts w:hint="eastAsia"/>
                      <w:szCs w:val="21"/>
                    </w:rPr>
                    <w:t>、</w:t>
                  </w:r>
                  <w:r>
                    <w:rPr>
                      <w:szCs w:val="21"/>
                    </w:rPr>
                    <w:t>《声环境质量标准》（GB3096</w:t>
                  </w:r>
                  <w:r>
                    <w:rPr>
                      <w:rFonts w:ascii="宋体" w:hAnsi="宋体"/>
                      <w:szCs w:val="21"/>
                    </w:rPr>
                    <w:t>-</w:t>
                  </w:r>
                  <w:r>
                    <w:rPr>
                      <w:szCs w:val="21"/>
                    </w:rPr>
                    <w:t>2008）</w:t>
                  </w:r>
                  <w:r>
                    <w:rPr>
                      <w:rFonts w:hint="eastAsia"/>
                      <w:kern w:val="0"/>
                      <w:szCs w:val="21"/>
                      <w:lang w:bidi="ar"/>
                    </w:rPr>
                    <w:t>2</w:t>
                  </w:r>
                  <w:r>
                    <w:rPr>
                      <w:rFonts w:hint="eastAsia" w:ascii="宋体" w:hAnsi="宋体" w:cs="宋体"/>
                      <w:kern w:val="0"/>
                      <w:szCs w:val="21"/>
                      <w:lang w:bidi="ar"/>
                    </w:rPr>
                    <w:t>类</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010" w:type="dxa"/>
                  <w:vMerge w:val="continue"/>
                  <w:tcBorders>
                    <w:tl2br w:val="nil"/>
                    <w:tr2bl w:val="nil"/>
                  </w:tcBorders>
                  <w:vAlign w:val="center"/>
                </w:tcPr>
                <w:p>
                  <w:pPr>
                    <w:pStyle w:val="146"/>
                    <w:spacing w:line="0" w:lineRule="atLeast"/>
                    <w:rPr>
                      <w:szCs w:val="21"/>
                    </w:rPr>
                  </w:pPr>
                </w:p>
              </w:tc>
              <w:tc>
                <w:tcPr>
                  <w:tcW w:w="1595" w:type="dxa"/>
                  <w:tcBorders>
                    <w:tl2br w:val="nil"/>
                    <w:tr2bl w:val="nil"/>
                  </w:tcBorders>
                  <w:vAlign w:val="center"/>
                </w:tcPr>
                <w:p>
                  <w:pPr>
                    <w:pStyle w:val="146"/>
                    <w:spacing w:line="0" w:lineRule="atLeast"/>
                    <w:rPr>
                      <w:kern w:val="0"/>
                      <w:szCs w:val="21"/>
                    </w:rPr>
                  </w:pPr>
                  <w:r>
                    <w:rPr>
                      <w:rFonts w:hint="eastAsia"/>
                      <w:kern w:val="0"/>
                      <w:szCs w:val="21"/>
                    </w:rPr>
                    <w:t>农场</w:t>
                  </w:r>
                </w:p>
              </w:tc>
              <w:tc>
                <w:tcPr>
                  <w:tcW w:w="1066" w:type="dxa"/>
                  <w:tcBorders>
                    <w:tl2br w:val="nil"/>
                    <w:tr2bl w:val="nil"/>
                  </w:tcBorders>
                  <w:vAlign w:val="center"/>
                </w:tcPr>
                <w:p>
                  <w:pPr>
                    <w:pStyle w:val="146"/>
                    <w:spacing w:line="0" w:lineRule="atLeast"/>
                    <w:rPr>
                      <w:kern w:val="0"/>
                      <w:szCs w:val="21"/>
                      <w:lang w:val="zh-CN"/>
                    </w:rPr>
                  </w:pPr>
                  <w:r>
                    <w:rPr>
                      <w:rFonts w:hint="eastAsia"/>
                      <w:kern w:val="0"/>
                      <w:szCs w:val="21"/>
                      <w:lang w:val="zh-CN"/>
                    </w:rPr>
                    <w:t>东</w:t>
                  </w:r>
                  <w:r>
                    <w:rPr>
                      <w:rFonts w:hint="eastAsia"/>
                      <w:kern w:val="0"/>
                      <w:szCs w:val="21"/>
                    </w:rPr>
                    <w:t>北</w:t>
                  </w:r>
                  <w:r>
                    <w:rPr>
                      <w:rFonts w:hint="eastAsia"/>
                      <w:kern w:val="0"/>
                      <w:szCs w:val="21"/>
                      <w:lang w:val="zh-CN"/>
                    </w:rPr>
                    <w:t>面，约</w:t>
                  </w:r>
                  <w:r>
                    <w:rPr>
                      <w:rFonts w:hint="eastAsia"/>
                      <w:kern w:val="0"/>
                      <w:szCs w:val="21"/>
                    </w:rPr>
                    <w:t>490</w:t>
                  </w:r>
                  <w:r>
                    <w:rPr>
                      <w:kern w:val="0"/>
                      <w:szCs w:val="21"/>
                    </w:rPr>
                    <w:t>m</w:t>
                  </w:r>
                </w:p>
              </w:tc>
              <w:tc>
                <w:tcPr>
                  <w:tcW w:w="682" w:type="dxa"/>
                  <w:tcBorders>
                    <w:right w:val="single" w:color="000000" w:sz="8" w:space="0"/>
                    <w:tl2br w:val="nil"/>
                    <w:tr2bl w:val="nil"/>
                  </w:tcBorders>
                  <w:vAlign w:val="center"/>
                </w:tcPr>
                <w:p>
                  <w:pPr>
                    <w:pStyle w:val="146"/>
                    <w:spacing w:line="0" w:lineRule="atLeast"/>
                    <w:rPr>
                      <w:kern w:val="0"/>
                      <w:szCs w:val="21"/>
                    </w:rPr>
                  </w:pPr>
                  <w:r>
                    <w:rPr>
                      <w:rFonts w:hint="eastAsia"/>
                      <w:kern w:val="0"/>
                      <w:szCs w:val="21"/>
                    </w:rPr>
                    <w:t>18户</w:t>
                  </w:r>
                  <w:r>
                    <w:rPr>
                      <w:kern w:val="0"/>
                      <w:szCs w:val="21"/>
                      <w:lang w:val="zh-CN"/>
                    </w:rPr>
                    <w:t>，</w:t>
                  </w:r>
                  <w:r>
                    <w:rPr>
                      <w:rFonts w:hint="eastAsia"/>
                      <w:kern w:val="0"/>
                      <w:szCs w:val="21"/>
                    </w:rPr>
                    <w:t>72</w:t>
                  </w:r>
                  <w:r>
                    <w:rPr>
                      <w:kern w:val="0"/>
                      <w:szCs w:val="21"/>
                      <w:lang w:val="zh-CN"/>
                    </w:rPr>
                    <w:t>人</w:t>
                  </w:r>
                </w:p>
              </w:tc>
              <w:tc>
                <w:tcPr>
                  <w:tcW w:w="1354" w:type="dxa"/>
                  <w:tcBorders>
                    <w:left w:val="single" w:color="000000" w:sz="8" w:space="0"/>
                    <w:tl2br w:val="nil"/>
                    <w:tr2bl w:val="nil"/>
                  </w:tcBorders>
                  <w:vAlign w:val="center"/>
                </w:tcPr>
                <w:p>
                  <w:pPr>
                    <w:pStyle w:val="146"/>
                    <w:spacing w:line="0" w:lineRule="atLeast"/>
                    <w:rPr>
                      <w:szCs w:val="21"/>
                    </w:rPr>
                  </w:pPr>
                  <w:r>
                    <w:rPr>
                      <w:rFonts w:hint="eastAsia"/>
                      <w:szCs w:val="21"/>
                    </w:rPr>
                    <w:t>E101.229042</w:t>
                  </w:r>
                </w:p>
                <w:p>
                  <w:pPr>
                    <w:pStyle w:val="146"/>
                    <w:spacing w:line="0" w:lineRule="atLeast"/>
                    <w:rPr>
                      <w:kern w:val="0"/>
                      <w:szCs w:val="21"/>
                    </w:rPr>
                  </w:pPr>
                  <w:r>
                    <w:rPr>
                      <w:rFonts w:hint="eastAsia"/>
                      <w:kern w:val="0"/>
                      <w:szCs w:val="21"/>
                    </w:rPr>
                    <w:t>N25.535804</w:t>
                  </w:r>
                </w:p>
              </w:tc>
              <w:tc>
                <w:tcPr>
                  <w:tcW w:w="2500" w:type="dxa"/>
                  <w:vMerge w:val="continue"/>
                  <w:tcBorders>
                    <w:tl2br w:val="nil"/>
                    <w:tr2bl w:val="nil"/>
                  </w:tcBorders>
                  <w:vAlign w:val="center"/>
                </w:tcPr>
                <w:p>
                  <w:pPr>
                    <w:pStyle w:val="146"/>
                    <w:spacing w:line="0" w:lineRule="atLeast"/>
                    <w:rPr>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1010" w:type="dxa"/>
                  <w:vMerge w:val="continue"/>
                  <w:tcBorders>
                    <w:tl2br w:val="nil"/>
                    <w:tr2bl w:val="nil"/>
                  </w:tcBorders>
                  <w:vAlign w:val="center"/>
                </w:tcPr>
                <w:p>
                  <w:pPr>
                    <w:pStyle w:val="146"/>
                    <w:spacing w:line="0" w:lineRule="atLeast"/>
                    <w:rPr>
                      <w:szCs w:val="21"/>
                    </w:rPr>
                  </w:pPr>
                </w:p>
              </w:tc>
              <w:tc>
                <w:tcPr>
                  <w:tcW w:w="1595" w:type="dxa"/>
                  <w:tcBorders>
                    <w:tl2br w:val="nil"/>
                    <w:tr2bl w:val="nil"/>
                  </w:tcBorders>
                  <w:vAlign w:val="center"/>
                </w:tcPr>
                <w:p>
                  <w:pPr>
                    <w:pStyle w:val="146"/>
                    <w:spacing w:line="0" w:lineRule="atLeast"/>
                    <w:rPr>
                      <w:color w:val="FF0000"/>
                      <w:kern w:val="0"/>
                      <w:szCs w:val="21"/>
                    </w:rPr>
                  </w:pPr>
                  <w:r>
                    <w:rPr>
                      <w:rFonts w:hint="eastAsia"/>
                      <w:color w:val="FF0000"/>
                      <w:kern w:val="0"/>
                      <w:szCs w:val="21"/>
                    </w:rPr>
                    <w:t>烟叶站</w:t>
                  </w:r>
                </w:p>
              </w:tc>
              <w:tc>
                <w:tcPr>
                  <w:tcW w:w="1066" w:type="dxa"/>
                  <w:tcBorders>
                    <w:tl2br w:val="nil"/>
                    <w:tr2bl w:val="nil"/>
                  </w:tcBorders>
                  <w:vAlign w:val="center"/>
                </w:tcPr>
                <w:p>
                  <w:pPr>
                    <w:pStyle w:val="146"/>
                    <w:spacing w:line="0" w:lineRule="atLeast"/>
                    <w:rPr>
                      <w:color w:val="FF0000"/>
                      <w:kern w:val="0"/>
                      <w:szCs w:val="21"/>
                      <w:lang w:val="zh-CN"/>
                    </w:rPr>
                  </w:pPr>
                  <w:r>
                    <w:rPr>
                      <w:rFonts w:hint="eastAsia"/>
                      <w:color w:val="FF0000"/>
                      <w:kern w:val="0"/>
                      <w:szCs w:val="21"/>
                    </w:rPr>
                    <w:t>西面40m</w:t>
                  </w:r>
                </w:p>
              </w:tc>
              <w:tc>
                <w:tcPr>
                  <w:tcW w:w="682" w:type="dxa"/>
                  <w:tcBorders>
                    <w:right w:val="single" w:color="000000" w:sz="8" w:space="0"/>
                    <w:tl2br w:val="nil"/>
                    <w:tr2bl w:val="nil"/>
                  </w:tcBorders>
                  <w:vAlign w:val="center"/>
                </w:tcPr>
                <w:p>
                  <w:pPr>
                    <w:pStyle w:val="146"/>
                    <w:spacing w:line="0" w:lineRule="atLeast"/>
                    <w:rPr>
                      <w:color w:val="FF0000"/>
                      <w:kern w:val="0"/>
                      <w:szCs w:val="21"/>
                    </w:rPr>
                  </w:pPr>
                  <w:r>
                    <w:rPr>
                      <w:rFonts w:hint="eastAsia"/>
                      <w:color w:val="FF0000"/>
                      <w:kern w:val="0"/>
                      <w:szCs w:val="21"/>
                    </w:rPr>
                    <w:t>约8人</w:t>
                  </w:r>
                </w:p>
              </w:tc>
              <w:tc>
                <w:tcPr>
                  <w:tcW w:w="1354" w:type="dxa"/>
                  <w:tcBorders>
                    <w:left w:val="single" w:color="000000" w:sz="8" w:space="0"/>
                    <w:tl2br w:val="nil"/>
                    <w:tr2bl w:val="nil"/>
                  </w:tcBorders>
                  <w:vAlign w:val="center"/>
                </w:tcPr>
                <w:p>
                  <w:pPr>
                    <w:pStyle w:val="146"/>
                    <w:spacing w:line="0" w:lineRule="atLeast"/>
                    <w:rPr>
                      <w:color w:val="FF0000"/>
                      <w:szCs w:val="21"/>
                    </w:rPr>
                  </w:pPr>
                  <w:r>
                    <w:rPr>
                      <w:rFonts w:hint="eastAsia"/>
                      <w:color w:val="FF0000"/>
                      <w:szCs w:val="21"/>
                    </w:rPr>
                    <w:t>E101.224729</w:t>
                  </w:r>
                </w:p>
                <w:p>
                  <w:pPr>
                    <w:spacing w:line="0" w:lineRule="atLeast"/>
                    <w:ind w:firstLine="0" w:firstLineChars="0"/>
                    <w:rPr>
                      <w:color w:val="FF0000"/>
                      <w:sz w:val="21"/>
                      <w:szCs w:val="21"/>
                    </w:rPr>
                  </w:pPr>
                  <w:r>
                    <w:rPr>
                      <w:rFonts w:hint="eastAsia"/>
                      <w:color w:val="FF0000"/>
                      <w:kern w:val="0"/>
                      <w:sz w:val="21"/>
                      <w:szCs w:val="21"/>
                    </w:rPr>
                    <w:t>N25.532666</w:t>
                  </w:r>
                </w:p>
              </w:tc>
              <w:tc>
                <w:tcPr>
                  <w:tcW w:w="2500" w:type="dxa"/>
                  <w:vMerge w:val="continue"/>
                  <w:tcBorders>
                    <w:tl2br w:val="nil"/>
                    <w:tr2bl w:val="nil"/>
                  </w:tcBorders>
                  <w:vAlign w:val="center"/>
                </w:tcPr>
                <w:p>
                  <w:pPr>
                    <w:pStyle w:val="146"/>
                    <w:spacing w:line="0" w:lineRule="atLeast"/>
                    <w:rPr>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010" w:type="dxa"/>
                  <w:vMerge w:val="continue"/>
                  <w:tcBorders>
                    <w:tl2br w:val="nil"/>
                    <w:tr2bl w:val="nil"/>
                  </w:tcBorders>
                  <w:vAlign w:val="center"/>
                </w:tcPr>
                <w:p>
                  <w:pPr>
                    <w:pStyle w:val="146"/>
                    <w:spacing w:line="0" w:lineRule="atLeast"/>
                    <w:rPr>
                      <w:szCs w:val="21"/>
                    </w:rPr>
                  </w:pPr>
                </w:p>
              </w:tc>
              <w:tc>
                <w:tcPr>
                  <w:tcW w:w="1595" w:type="dxa"/>
                  <w:tcBorders>
                    <w:tl2br w:val="nil"/>
                    <w:tr2bl w:val="nil"/>
                  </w:tcBorders>
                  <w:vAlign w:val="center"/>
                </w:tcPr>
                <w:p>
                  <w:pPr>
                    <w:pStyle w:val="146"/>
                    <w:spacing w:line="0" w:lineRule="atLeast"/>
                    <w:rPr>
                      <w:color w:val="FF0000"/>
                      <w:kern w:val="0"/>
                      <w:szCs w:val="21"/>
                    </w:rPr>
                  </w:pPr>
                  <w:r>
                    <w:rPr>
                      <w:rFonts w:hint="eastAsia"/>
                      <w:color w:val="FF0000"/>
                      <w:kern w:val="0"/>
                      <w:szCs w:val="21"/>
                    </w:rPr>
                    <w:t>农村信用社</w:t>
                  </w:r>
                </w:p>
              </w:tc>
              <w:tc>
                <w:tcPr>
                  <w:tcW w:w="1066" w:type="dxa"/>
                  <w:tcBorders>
                    <w:tl2br w:val="nil"/>
                    <w:tr2bl w:val="nil"/>
                  </w:tcBorders>
                  <w:vAlign w:val="center"/>
                </w:tcPr>
                <w:p>
                  <w:pPr>
                    <w:pStyle w:val="146"/>
                    <w:spacing w:line="0" w:lineRule="atLeast"/>
                    <w:rPr>
                      <w:color w:val="FF0000"/>
                      <w:kern w:val="0"/>
                      <w:szCs w:val="21"/>
                    </w:rPr>
                  </w:pPr>
                  <w:r>
                    <w:rPr>
                      <w:rFonts w:hint="eastAsia"/>
                      <w:color w:val="FF0000"/>
                      <w:kern w:val="0"/>
                      <w:szCs w:val="21"/>
                    </w:rPr>
                    <w:t>东南面90m</w:t>
                  </w:r>
                </w:p>
              </w:tc>
              <w:tc>
                <w:tcPr>
                  <w:tcW w:w="682" w:type="dxa"/>
                  <w:tcBorders>
                    <w:right w:val="single" w:color="000000" w:sz="8" w:space="0"/>
                    <w:tl2br w:val="nil"/>
                    <w:tr2bl w:val="nil"/>
                  </w:tcBorders>
                  <w:vAlign w:val="center"/>
                </w:tcPr>
                <w:p>
                  <w:pPr>
                    <w:pStyle w:val="146"/>
                    <w:spacing w:line="0" w:lineRule="atLeast"/>
                    <w:rPr>
                      <w:color w:val="FF0000"/>
                      <w:kern w:val="0"/>
                      <w:szCs w:val="21"/>
                    </w:rPr>
                  </w:pPr>
                  <w:r>
                    <w:rPr>
                      <w:rFonts w:hint="eastAsia"/>
                      <w:color w:val="FF0000"/>
                      <w:kern w:val="0"/>
                      <w:szCs w:val="21"/>
                    </w:rPr>
                    <w:t>约15人</w:t>
                  </w:r>
                </w:p>
              </w:tc>
              <w:tc>
                <w:tcPr>
                  <w:tcW w:w="1354" w:type="dxa"/>
                  <w:tcBorders>
                    <w:left w:val="single" w:color="000000" w:sz="8" w:space="0"/>
                    <w:tl2br w:val="nil"/>
                    <w:tr2bl w:val="nil"/>
                  </w:tcBorders>
                  <w:vAlign w:val="center"/>
                </w:tcPr>
                <w:p>
                  <w:pPr>
                    <w:pStyle w:val="146"/>
                    <w:spacing w:line="0" w:lineRule="atLeast"/>
                    <w:rPr>
                      <w:color w:val="FF0000"/>
                      <w:szCs w:val="21"/>
                    </w:rPr>
                  </w:pPr>
                  <w:r>
                    <w:rPr>
                      <w:rFonts w:hint="eastAsia"/>
                      <w:color w:val="FF0000"/>
                      <w:szCs w:val="21"/>
                    </w:rPr>
                    <w:t>E101.226633</w:t>
                  </w:r>
                </w:p>
                <w:p>
                  <w:pPr>
                    <w:pStyle w:val="146"/>
                    <w:spacing w:line="0" w:lineRule="atLeast"/>
                    <w:rPr>
                      <w:color w:val="FF0000"/>
                      <w:kern w:val="0"/>
                      <w:szCs w:val="21"/>
                    </w:rPr>
                  </w:pPr>
                  <w:r>
                    <w:rPr>
                      <w:rFonts w:hint="eastAsia"/>
                      <w:color w:val="FF0000"/>
                      <w:kern w:val="0"/>
                      <w:szCs w:val="21"/>
                    </w:rPr>
                    <w:t>N25.531373</w:t>
                  </w:r>
                </w:p>
              </w:tc>
              <w:tc>
                <w:tcPr>
                  <w:tcW w:w="2500" w:type="dxa"/>
                  <w:vMerge w:val="continue"/>
                  <w:tcBorders>
                    <w:tl2br w:val="nil"/>
                    <w:tr2bl w:val="nil"/>
                  </w:tcBorders>
                  <w:vAlign w:val="center"/>
                </w:tcPr>
                <w:p>
                  <w:pPr>
                    <w:pStyle w:val="146"/>
                    <w:spacing w:line="0" w:lineRule="atLeast"/>
                    <w:rPr>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010" w:type="dxa"/>
                  <w:vMerge w:val="continue"/>
                  <w:tcBorders>
                    <w:tl2br w:val="nil"/>
                    <w:tr2bl w:val="nil"/>
                  </w:tcBorders>
                  <w:vAlign w:val="center"/>
                </w:tcPr>
                <w:p>
                  <w:pPr>
                    <w:pStyle w:val="146"/>
                    <w:spacing w:line="0" w:lineRule="atLeast"/>
                    <w:rPr>
                      <w:szCs w:val="21"/>
                    </w:rPr>
                  </w:pPr>
                </w:p>
              </w:tc>
              <w:tc>
                <w:tcPr>
                  <w:tcW w:w="1595" w:type="dxa"/>
                  <w:tcBorders>
                    <w:tl2br w:val="nil"/>
                    <w:tr2bl w:val="nil"/>
                  </w:tcBorders>
                  <w:vAlign w:val="center"/>
                </w:tcPr>
                <w:p>
                  <w:pPr>
                    <w:pStyle w:val="146"/>
                    <w:spacing w:line="0" w:lineRule="atLeast"/>
                    <w:rPr>
                      <w:color w:val="FF0000"/>
                      <w:kern w:val="0"/>
                      <w:szCs w:val="21"/>
                    </w:rPr>
                  </w:pPr>
                  <w:r>
                    <w:rPr>
                      <w:rFonts w:hint="eastAsia"/>
                      <w:color w:val="FF0000"/>
                      <w:kern w:val="0"/>
                      <w:szCs w:val="21"/>
                    </w:rPr>
                    <w:t>南方电网</w:t>
                  </w:r>
                </w:p>
              </w:tc>
              <w:tc>
                <w:tcPr>
                  <w:tcW w:w="1066" w:type="dxa"/>
                  <w:tcBorders>
                    <w:tl2br w:val="nil"/>
                    <w:tr2bl w:val="nil"/>
                  </w:tcBorders>
                  <w:vAlign w:val="center"/>
                </w:tcPr>
                <w:p>
                  <w:pPr>
                    <w:pStyle w:val="146"/>
                    <w:spacing w:line="0" w:lineRule="atLeast"/>
                    <w:rPr>
                      <w:color w:val="FF0000"/>
                      <w:kern w:val="0"/>
                      <w:szCs w:val="21"/>
                      <w:lang w:val="zh-CN"/>
                    </w:rPr>
                  </w:pPr>
                  <w:r>
                    <w:rPr>
                      <w:rFonts w:hint="eastAsia"/>
                      <w:color w:val="FF0000"/>
                      <w:kern w:val="0"/>
                      <w:szCs w:val="21"/>
                    </w:rPr>
                    <w:t>西北面95m</w:t>
                  </w:r>
                </w:p>
              </w:tc>
              <w:tc>
                <w:tcPr>
                  <w:tcW w:w="682" w:type="dxa"/>
                  <w:tcBorders>
                    <w:right w:val="single" w:color="000000" w:sz="8" w:space="0"/>
                    <w:tl2br w:val="nil"/>
                    <w:tr2bl w:val="nil"/>
                  </w:tcBorders>
                  <w:vAlign w:val="center"/>
                </w:tcPr>
                <w:p>
                  <w:pPr>
                    <w:pStyle w:val="146"/>
                    <w:spacing w:line="0" w:lineRule="atLeast"/>
                    <w:rPr>
                      <w:color w:val="FF0000"/>
                      <w:kern w:val="0"/>
                      <w:szCs w:val="21"/>
                    </w:rPr>
                  </w:pPr>
                  <w:r>
                    <w:rPr>
                      <w:rFonts w:hint="eastAsia"/>
                      <w:color w:val="FF0000"/>
                      <w:kern w:val="0"/>
                      <w:szCs w:val="21"/>
                    </w:rPr>
                    <w:t>约10人</w:t>
                  </w:r>
                </w:p>
              </w:tc>
              <w:tc>
                <w:tcPr>
                  <w:tcW w:w="1354" w:type="dxa"/>
                  <w:tcBorders>
                    <w:left w:val="single" w:color="000000" w:sz="8" w:space="0"/>
                    <w:tl2br w:val="nil"/>
                    <w:tr2bl w:val="nil"/>
                  </w:tcBorders>
                  <w:vAlign w:val="center"/>
                </w:tcPr>
                <w:p>
                  <w:pPr>
                    <w:pStyle w:val="146"/>
                    <w:spacing w:line="0" w:lineRule="atLeast"/>
                    <w:rPr>
                      <w:color w:val="FF0000"/>
                      <w:szCs w:val="21"/>
                    </w:rPr>
                  </w:pPr>
                  <w:r>
                    <w:rPr>
                      <w:rFonts w:hint="eastAsia"/>
                      <w:color w:val="FF0000"/>
                      <w:szCs w:val="21"/>
                    </w:rPr>
                    <w:t>E101.224509</w:t>
                  </w:r>
                </w:p>
                <w:p>
                  <w:pPr>
                    <w:pStyle w:val="146"/>
                    <w:spacing w:line="0" w:lineRule="atLeast"/>
                    <w:rPr>
                      <w:color w:val="FF0000"/>
                      <w:kern w:val="0"/>
                      <w:szCs w:val="21"/>
                    </w:rPr>
                  </w:pPr>
                  <w:r>
                    <w:rPr>
                      <w:rFonts w:hint="eastAsia"/>
                      <w:color w:val="FF0000"/>
                      <w:kern w:val="0"/>
                      <w:szCs w:val="21"/>
                    </w:rPr>
                    <w:t>N25.534120</w:t>
                  </w:r>
                </w:p>
              </w:tc>
              <w:tc>
                <w:tcPr>
                  <w:tcW w:w="2500" w:type="dxa"/>
                  <w:vMerge w:val="continue"/>
                  <w:tcBorders>
                    <w:tl2br w:val="nil"/>
                    <w:tr2bl w:val="nil"/>
                  </w:tcBorders>
                  <w:vAlign w:val="center"/>
                </w:tcPr>
                <w:p>
                  <w:pPr>
                    <w:pStyle w:val="146"/>
                    <w:spacing w:line="0" w:lineRule="atLeast"/>
                    <w:rPr>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010" w:type="dxa"/>
                  <w:vMerge w:val="continue"/>
                  <w:tcBorders>
                    <w:tl2br w:val="nil"/>
                    <w:tr2bl w:val="nil"/>
                  </w:tcBorders>
                  <w:vAlign w:val="center"/>
                </w:tcPr>
                <w:p>
                  <w:pPr>
                    <w:pStyle w:val="146"/>
                    <w:spacing w:line="0" w:lineRule="atLeast"/>
                    <w:rPr>
                      <w:szCs w:val="21"/>
                    </w:rPr>
                  </w:pPr>
                </w:p>
              </w:tc>
              <w:tc>
                <w:tcPr>
                  <w:tcW w:w="1595" w:type="dxa"/>
                  <w:tcBorders>
                    <w:tl2br w:val="nil"/>
                    <w:tr2bl w:val="nil"/>
                  </w:tcBorders>
                  <w:vAlign w:val="center"/>
                </w:tcPr>
                <w:p>
                  <w:pPr>
                    <w:pStyle w:val="146"/>
                    <w:spacing w:line="0" w:lineRule="atLeast"/>
                    <w:rPr>
                      <w:color w:val="FF0000"/>
                      <w:kern w:val="0"/>
                      <w:szCs w:val="21"/>
                    </w:rPr>
                  </w:pPr>
                  <w:r>
                    <w:rPr>
                      <w:rFonts w:hint="eastAsia"/>
                      <w:color w:val="FF0000"/>
                      <w:kern w:val="0"/>
                      <w:szCs w:val="21"/>
                    </w:rPr>
                    <w:t>粮管所</w:t>
                  </w:r>
                </w:p>
              </w:tc>
              <w:tc>
                <w:tcPr>
                  <w:tcW w:w="1066" w:type="dxa"/>
                  <w:tcBorders>
                    <w:tl2br w:val="nil"/>
                    <w:tr2bl w:val="nil"/>
                  </w:tcBorders>
                  <w:vAlign w:val="center"/>
                </w:tcPr>
                <w:p>
                  <w:pPr>
                    <w:pStyle w:val="146"/>
                    <w:spacing w:line="0" w:lineRule="atLeast"/>
                    <w:rPr>
                      <w:color w:val="FF0000"/>
                      <w:kern w:val="0"/>
                      <w:szCs w:val="21"/>
                    </w:rPr>
                  </w:pPr>
                  <w:r>
                    <w:rPr>
                      <w:rFonts w:hint="eastAsia"/>
                      <w:color w:val="FF0000"/>
                      <w:kern w:val="0"/>
                      <w:szCs w:val="21"/>
                    </w:rPr>
                    <w:t>西北面120m</w:t>
                  </w:r>
                </w:p>
              </w:tc>
              <w:tc>
                <w:tcPr>
                  <w:tcW w:w="682" w:type="dxa"/>
                  <w:tcBorders>
                    <w:right w:val="single" w:color="000000" w:sz="8" w:space="0"/>
                    <w:tl2br w:val="nil"/>
                    <w:tr2bl w:val="nil"/>
                  </w:tcBorders>
                  <w:vAlign w:val="center"/>
                </w:tcPr>
                <w:p>
                  <w:pPr>
                    <w:pStyle w:val="146"/>
                    <w:spacing w:line="0" w:lineRule="atLeast"/>
                    <w:rPr>
                      <w:color w:val="FF0000"/>
                      <w:kern w:val="0"/>
                      <w:szCs w:val="21"/>
                    </w:rPr>
                  </w:pPr>
                  <w:r>
                    <w:rPr>
                      <w:rFonts w:hint="eastAsia"/>
                      <w:color w:val="FF0000"/>
                      <w:kern w:val="0"/>
                      <w:szCs w:val="21"/>
                    </w:rPr>
                    <w:t>约5人</w:t>
                  </w:r>
                </w:p>
              </w:tc>
              <w:tc>
                <w:tcPr>
                  <w:tcW w:w="1354" w:type="dxa"/>
                  <w:tcBorders>
                    <w:left w:val="single" w:color="000000" w:sz="8" w:space="0"/>
                    <w:tl2br w:val="nil"/>
                    <w:tr2bl w:val="nil"/>
                  </w:tcBorders>
                  <w:vAlign w:val="center"/>
                </w:tcPr>
                <w:p>
                  <w:pPr>
                    <w:pStyle w:val="146"/>
                    <w:spacing w:line="0" w:lineRule="atLeast"/>
                    <w:rPr>
                      <w:color w:val="FF0000"/>
                      <w:szCs w:val="21"/>
                    </w:rPr>
                  </w:pPr>
                  <w:r>
                    <w:rPr>
                      <w:rFonts w:hint="eastAsia"/>
                      <w:color w:val="FF0000"/>
                      <w:szCs w:val="21"/>
                    </w:rPr>
                    <w:t>E101.223914</w:t>
                  </w:r>
                </w:p>
                <w:p>
                  <w:pPr>
                    <w:pStyle w:val="146"/>
                    <w:spacing w:line="0" w:lineRule="atLeast"/>
                    <w:rPr>
                      <w:color w:val="FF0000"/>
                      <w:kern w:val="0"/>
                      <w:szCs w:val="21"/>
                    </w:rPr>
                  </w:pPr>
                  <w:r>
                    <w:rPr>
                      <w:rFonts w:hint="eastAsia"/>
                      <w:color w:val="FF0000"/>
                      <w:kern w:val="0"/>
                      <w:szCs w:val="21"/>
                    </w:rPr>
                    <w:t>N25.533310</w:t>
                  </w:r>
                </w:p>
              </w:tc>
              <w:tc>
                <w:tcPr>
                  <w:tcW w:w="2500" w:type="dxa"/>
                  <w:vMerge w:val="continue"/>
                  <w:tcBorders>
                    <w:tl2br w:val="nil"/>
                    <w:tr2bl w:val="nil"/>
                  </w:tcBorders>
                  <w:vAlign w:val="center"/>
                </w:tcPr>
                <w:p>
                  <w:pPr>
                    <w:pStyle w:val="146"/>
                    <w:spacing w:line="0" w:lineRule="atLeast"/>
                    <w:rPr>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59" w:hRule="atLeast"/>
                <w:jc w:val="center"/>
              </w:trPr>
              <w:tc>
                <w:tcPr>
                  <w:tcW w:w="1010" w:type="dxa"/>
                  <w:vMerge w:val="continue"/>
                  <w:tcBorders>
                    <w:tl2br w:val="nil"/>
                    <w:tr2bl w:val="nil"/>
                  </w:tcBorders>
                  <w:vAlign w:val="center"/>
                </w:tcPr>
                <w:p>
                  <w:pPr>
                    <w:pStyle w:val="146"/>
                    <w:spacing w:line="0" w:lineRule="atLeast"/>
                    <w:rPr>
                      <w:szCs w:val="21"/>
                    </w:rPr>
                  </w:pPr>
                </w:p>
              </w:tc>
              <w:tc>
                <w:tcPr>
                  <w:tcW w:w="1595" w:type="dxa"/>
                  <w:tcBorders>
                    <w:tl2br w:val="nil"/>
                    <w:tr2bl w:val="nil"/>
                  </w:tcBorders>
                  <w:vAlign w:val="center"/>
                </w:tcPr>
                <w:p>
                  <w:pPr>
                    <w:pStyle w:val="146"/>
                    <w:spacing w:line="0" w:lineRule="atLeast"/>
                    <w:rPr>
                      <w:color w:val="FF0000"/>
                      <w:kern w:val="0"/>
                      <w:szCs w:val="21"/>
                    </w:rPr>
                  </w:pPr>
                  <w:r>
                    <w:rPr>
                      <w:rFonts w:hint="eastAsia"/>
                      <w:color w:val="FF0000"/>
                      <w:kern w:val="0"/>
                      <w:szCs w:val="21"/>
                    </w:rPr>
                    <w:t>养老院</w:t>
                  </w:r>
                </w:p>
              </w:tc>
              <w:tc>
                <w:tcPr>
                  <w:tcW w:w="1066" w:type="dxa"/>
                  <w:tcBorders>
                    <w:tl2br w:val="nil"/>
                    <w:tr2bl w:val="nil"/>
                  </w:tcBorders>
                  <w:vAlign w:val="center"/>
                </w:tcPr>
                <w:p>
                  <w:pPr>
                    <w:pStyle w:val="146"/>
                    <w:spacing w:line="0" w:lineRule="atLeast"/>
                    <w:rPr>
                      <w:color w:val="FF0000"/>
                      <w:kern w:val="0"/>
                      <w:szCs w:val="21"/>
                    </w:rPr>
                  </w:pPr>
                  <w:r>
                    <w:rPr>
                      <w:rFonts w:hint="eastAsia"/>
                      <w:color w:val="FF0000"/>
                      <w:kern w:val="0"/>
                      <w:szCs w:val="21"/>
                    </w:rPr>
                    <w:t>北面270m</w:t>
                  </w:r>
                </w:p>
              </w:tc>
              <w:tc>
                <w:tcPr>
                  <w:tcW w:w="682" w:type="dxa"/>
                  <w:tcBorders>
                    <w:right w:val="single" w:color="000000" w:sz="8" w:space="0"/>
                    <w:tl2br w:val="nil"/>
                    <w:tr2bl w:val="nil"/>
                  </w:tcBorders>
                  <w:vAlign w:val="center"/>
                </w:tcPr>
                <w:p>
                  <w:pPr>
                    <w:pStyle w:val="146"/>
                    <w:spacing w:line="0" w:lineRule="atLeast"/>
                    <w:rPr>
                      <w:color w:val="FF0000"/>
                      <w:kern w:val="0"/>
                      <w:szCs w:val="21"/>
                    </w:rPr>
                  </w:pPr>
                  <w:r>
                    <w:rPr>
                      <w:rFonts w:hint="eastAsia"/>
                      <w:color w:val="FF0000"/>
                      <w:kern w:val="0"/>
                      <w:szCs w:val="21"/>
                    </w:rPr>
                    <w:t>约40人</w:t>
                  </w:r>
                </w:p>
              </w:tc>
              <w:tc>
                <w:tcPr>
                  <w:tcW w:w="1354" w:type="dxa"/>
                  <w:tcBorders>
                    <w:left w:val="single" w:color="000000" w:sz="8" w:space="0"/>
                    <w:tl2br w:val="nil"/>
                    <w:tr2bl w:val="nil"/>
                  </w:tcBorders>
                  <w:vAlign w:val="center"/>
                </w:tcPr>
                <w:p>
                  <w:pPr>
                    <w:pStyle w:val="146"/>
                    <w:spacing w:line="0" w:lineRule="atLeast"/>
                    <w:rPr>
                      <w:color w:val="FF0000"/>
                      <w:szCs w:val="21"/>
                    </w:rPr>
                  </w:pPr>
                  <w:r>
                    <w:rPr>
                      <w:rFonts w:hint="eastAsia"/>
                      <w:color w:val="FF0000"/>
                      <w:szCs w:val="21"/>
                    </w:rPr>
                    <w:t>E101.225539</w:t>
                  </w:r>
                </w:p>
                <w:p>
                  <w:pPr>
                    <w:pStyle w:val="146"/>
                    <w:spacing w:line="0" w:lineRule="atLeast"/>
                    <w:rPr>
                      <w:color w:val="FF0000"/>
                      <w:kern w:val="0"/>
                      <w:szCs w:val="21"/>
                    </w:rPr>
                  </w:pPr>
                  <w:r>
                    <w:rPr>
                      <w:rFonts w:hint="eastAsia"/>
                      <w:color w:val="FF0000"/>
                      <w:kern w:val="0"/>
                      <w:szCs w:val="21"/>
                    </w:rPr>
                    <w:t>N25.535579</w:t>
                  </w:r>
                </w:p>
              </w:tc>
              <w:tc>
                <w:tcPr>
                  <w:tcW w:w="2500" w:type="dxa"/>
                  <w:vMerge w:val="continue"/>
                  <w:tcBorders>
                    <w:tl2br w:val="nil"/>
                    <w:tr2bl w:val="nil"/>
                  </w:tcBorders>
                  <w:vAlign w:val="center"/>
                </w:tcPr>
                <w:p>
                  <w:pPr>
                    <w:pStyle w:val="146"/>
                    <w:spacing w:line="0" w:lineRule="atLeast"/>
                    <w:rPr>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010" w:type="dxa"/>
                  <w:tcBorders>
                    <w:tl2br w:val="nil"/>
                    <w:tr2bl w:val="nil"/>
                  </w:tcBorders>
                  <w:vAlign w:val="center"/>
                </w:tcPr>
                <w:p>
                  <w:pPr>
                    <w:pStyle w:val="146"/>
                    <w:spacing w:line="0" w:lineRule="atLeast"/>
                    <w:rPr>
                      <w:szCs w:val="21"/>
                    </w:rPr>
                  </w:pPr>
                  <w:r>
                    <w:rPr>
                      <w:szCs w:val="21"/>
                    </w:rPr>
                    <w:t>地表水</w:t>
                  </w:r>
                </w:p>
                <w:p>
                  <w:pPr>
                    <w:pStyle w:val="146"/>
                    <w:spacing w:line="0" w:lineRule="atLeast"/>
                    <w:rPr>
                      <w:szCs w:val="21"/>
                    </w:rPr>
                  </w:pPr>
                  <w:r>
                    <w:rPr>
                      <w:szCs w:val="21"/>
                    </w:rPr>
                    <w:t>环境</w:t>
                  </w:r>
                </w:p>
              </w:tc>
              <w:tc>
                <w:tcPr>
                  <w:tcW w:w="1595" w:type="dxa"/>
                  <w:tcBorders>
                    <w:tl2br w:val="nil"/>
                    <w:tr2bl w:val="nil"/>
                  </w:tcBorders>
                  <w:vAlign w:val="center"/>
                </w:tcPr>
                <w:p>
                  <w:pPr>
                    <w:pStyle w:val="146"/>
                    <w:spacing w:line="0" w:lineRule="atLeast"/>
                    <w:rPr>
                      <w:kern w:val="0"/>
                      <w:szCs w:val="21"/>
                      <w:lang w:val="zh-CN"/>
                    </w:rPr>
                  </w:pPr>
                  <w:r>
                    <w:rPr>
                      <w:rFonts w:hint="eastAsia"/>
                      <w:kern w:val="0"/>
                      <w:szCs w:val="21"/>
                    </w:rPr>
                    <w:t>蜻岭河</w:t>
                  </w:r>
                </w:p>
              </w:tc>
              <w:tc>
                <w:tcPr>
                  <w:tcW w:w="3102" w:type="dxa"/>
                  <w:gridSpan w:val="3"/>
                  <w:tcBorders>
                    <w:tl2br w:val="nil"/>
                    <w:tr2bl w:val="nil"/>
                  </w:tcBorders>
                  <w:vAlign w:val="center"/>
                </w:tcPr>
                <w:p>
                  <w:pPr>
                    <w:pStyle w:val="146"/>
                    <w:spacing w:line="0" w:lineRule="atLeast"/>
                    <w:rPr>
                      <w:kern w:val="0"/>
                      <w:szCs w:val="21"/>
                      <w:lang w:val="zh-CN"/>
                    </w:rPr>
                  </w:pPr>
                  <w:r>
                    <w:rPr>
                      <w:rFonts w:hint="eastAsia"/>
                      <w:kern w:val="0"/>
                      <w:szCs w:val="21"/>
                    </w:rPr>
                    <w:t>东</w:t>
                  </w:r>
                  <w:r>
                    <w:rPr>
                      <w:rFonts w:hint="eastAsia"/>
                      <w:kern w:val="0"/>
                      <w:szCs w:val="21"/>
                      <w:lang w:val="zh-CN"/>
                    </w:rPr>
                    <w:t>面</w:t>
                  </w:r>
                  <w:r>
                    <w:rPr>
                      <w:kern w:val="0"/>
                      <w:szCs w:val="21"/>
                      <w:lang w:val="zh-CN"/>
                    </w:rPr>
                    <w:t>约</w:t>
                  </w:r>
                  <w:r>
                    <w:rPr>
                      <w:rFonts w:hint="eastAsia"/>
                      <w:kern w:val="0"/>
                      <w:szCs w:val="21"/>
                    </w:rPr>
                    <w:t>3040</w:t>
                  </w:r>
                  <w:r>
                    <w:rPr>
                      <w:kern w:val="0"/>
                      <w:szCs w:val="21"/>
                    </w:rPr>
                    <w:t>m</w:t>
                  </w:r>
                </w:p>
              </w:tc>
              <w:tc>
                <w:tcPr>
                  <w:tcW w:w="2500" w:type="dxa"/>
                  <w:tcBorders>
                    <w:tl2br w:val="nil"/>
                    <w:tr2bl w:val="nil"/>
                  </w:tcBorders>
                  <w:vAlign w:val="center"/>
                </w:tcPr>
                <w:p>
                  <w:pPr>
                    <w:pStyle w:val="146"/>
                    <w:spacing w:line="0" w:lineRule="atLeast"/>
                    <w:rPr>
                      <w:szCs w:val="21"/>
                    </w:rPr>
                  </w:pPr>
                  <w:r>
                    <w:rPr>
                      <w:szCs w:val="21"/>
                    </w:rPr>
                    <w:t>《地表水环境质量标准》（GB3838-2002）</w:t>
                  </w:r>
                  <w:r>
                    <w:rPr>
                      <w:rFonts w:hint="eastAsia" w:ascii="宋体" w:hAnsi="宋体" w:cs="宋体"/>
                      <w:szCs w:val="21"/>
                    </w:rPr>
                    <w:t>Ⅳ</w:t>
                  </w:r>
                  <w:r>
                    <w:rPr>
                      <w:szCs w:val="21"/>
                    </w:rPr>
                    <w:t>类</w:t>
                  </w:r>
                </w:p>
              </w:tc>
            </w:tr>
          </w:tbl>
          <w:p>
            <w:pPr>
              <w:pStyle w:val="66"/>
              <w:ind w:firstLine="482"/>
              <w:rPr>
                <w:rFonts w:asciiTheme="minorEastAsia" w:hAnsiTheme="minorEastAsia" w:eastAsiaTheme="minorEastAsia"/>
              </w:rPr>
            </w:pPr>
          </w:p>
          <w:p>
            <w:pPr>
              <w:ind w:firstLine="0" w:firstLineChars="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59" w:type="dxa"/>
            <w:vAlign w:val="center"/>
          </w:tcPr>
          <w:p>
            <w:pPr>
              <w:adjustRightInd w:val="0"/>
              <w:snapToGrid w:val="0"/>
              <w:ind w:firstLine="0" w:firstLineChars="0"/>
              <w:jc w:val="center"/>
              <w:rPr>
                <w:rFonts w:cs="Times New Roman" w:asciiTheme="minorEastAsia" w:hAnsiTheme="minorEastAsia"/>
                <w:b/>
                <w:szCs w:val="24"/>
              </w:rPr>
            </w:pPr>
          </w:p>
          <w:p>
            <w:pPr>
              <w:adjustRightInd w:val="0"/>
              <w:snapToGrid w:val="0"/>
              <w:ind w:firstLine="0" w:firstLineChars="0"/>
              <w:jc w:val="center"/>
              <w:rPr>
                <w:rFonts w:cs="Times New Roman" w:asciiTheme="minorEastAsia" w:hAnsiTheme="minorEastAsia"/>
                <w:b/>
                <w:szCs w:val="24"/>
              </w:rPr>
            </w:pPr>
          </w:p>
          <w:p>
            <w:pPr>
              <w:adjustRightInd w:val="0"/>
              <w:snapToGrid w:val="0"/>
              <w:ind w:firstLine="0" w:firstLineChars="0"/>
              <w:jc w:val="center"/>
              <w:rPr>
                <w:rFonts w:cs="Times New Roman" w:asciiTheme="minorEastAsia" w:hAnsiTheme="minorEastAsia"/>
                <w:b/>
                <w:szCs w:val="24"/>
              </w:rPr>
            </w:pPr>
          </w:p>
          <w:p>
            <w:pPr>
              <w:adjustRightInd w:val="0"/>
              <w:snapToGrid w:val="0"/>
              <w:ind w:firstLine="0" w:firstLineChars="0"/>
              <w:jc w:val="center"/>
              <w:rPr>
                <w:rFonts w:cs="Times New Roman" w:asciiTheme="minorEastAsia" w:hAnsiTheme="minorEastAsia"/>
                <w:b/>
                <w:szCs w:val="24"/>
              </w:rPr>
            </w:pPr>
          </w:p>
          <w:p>
            <w:pPr>
              <w:adjustRightInd w:val="0"/>
              <w:snapToGrid w:val="0"/>
              <w:ind w:firstLine="0" w:firstLineChars="0"/>
              <w:jc w:val="center"/>
              <w:rPr>
                <w:rFonts w:cs="Times New Roman" w:asciiTheme="minorEastAsia" w:hAnsiTheme="minorEastAsia"/>
                <w:b/>
                <w:szCs w:val="24"/>
              </w:rPr>
            </w:pPr>
            <w:r>
              <w:rPr>
                <w:rFonts w:hint="eastAsia" w:cs="Times New Roman" w:asciiTheme="minorEastAsia" w:hAnsiTheme="minorEastAsia"/>
                <w:b/>
                <w:szCs w:val="24"/>
              </w:rPr>
              <w:t>污染物排放控制标准</w:t>
            </w:r>
          </w:p>
          <w:p>
            <w:pPr>
              <w:adjustRightInd w:val="0"/>
              <w:snapToGrid w:val="0"/>
              <w:ind w:firstLine="0" w:firstLineChars="0"/>
              <w:jc w:val="center"/>
              <w:rPr>
                <w:rFonts w:cs="Times New Roman" w:asciiTheme="minorEastAsia" w:hAnsiTheme="minorEastAsia"/>
                <w:b/>
                <w:szCs w:val="24"/>
              </w:rPr>
            </w:pPr>
          </w:p>
          <w:p>
            <w:pPr>
              <w:adjustRightInd w:val="0"/>
              <w:snapToGrid w:val="0"/>
              <w:ind w:firstLine="0" w:firstLineChars="0"/>
              <w:jc w:val="center"/>
              <w:rPr>
                <w:rFonts w:cs="Times New Roman" w:asciiTheme="minorEastAsia" w:hAnsiTheme="minorEastAsia"/>
                <w:b/>
                <w:szCs w:val="24"/>
              </w:rPr>
            </w:pPr>
          </w:p>
          <w:p>
            <w:pPr>
              <w:adjustRightInd w:val="0"/>
              <w:snapToGrid w:val="0"/>
              <w:ind w:firstLine="0" w:firstLineChars="0"/>
              <w:jc w:val="center"/>
              <w:rPr>
                <w:rFonts w:cs="Times New Roman" w:asciiTheme="minorEastAsia" w:hAnsiTheme="minorEastAsia"/>
                <w:b/>
                <w:szCs w:val="24"/>
              </w:rPr>
            </w:pPr>
          </w:p>
          <w:p>
            <w:pPr>
              <w:adjustRightInd w:val="0"/>
              <w:snapToGrid w:val="0"/>
              <w:ind w:firstLine="0" w:firstLineChars="0"/>
              <w:jc w:val="center"/>
              <w:rPr>
                <w:rFonts w:cs="Times New Roman" w:asciiTheme="minorEastAsia" w:hAnsiTheme="minorEastAsia"/>
                <w:b/>
                <w:szCs w:val="24"/>
              </w:rPr>
            </w:pPr>
          </w:p>
          <w:p>
            <w:pPr>
              <w:adjustRightInd w:val="0"/>
              <w:snapToGrid w:val="0"/>
              <w:ind w:firstLine="0" w:firstLineChars="0"/>
              <w:jc w:val="center"/>
              <w:rPr>
                <w:rFonts w:cs="Times New Roman" w:asciiTheme="minorEastAsia" w:hAnsiTheme="minorEastAsia"/>
                <w:b/>
                <w:szCs w:val="24"/>
              </w:rPr>
            </w:pPr>
          </w:p>
          <w:p>
            <w:pPr>
              <w:adjustRightInd w:val="0"/>
              <w:snapToGrid w:val="0"/>
              <w:ind w:firstLine="0" w:firstLineChars="0"/>
              <w:jc w:val="center"/>
              <w:rPr>
                <w:rFonts w:cs="Times New Roman" w:asciiTheme="minorEastAsia" w:hAnsiTheme="minorEastAsia"/>
                <w:b/>
                <w:szCs w:val="24"/>
              </w:rPr>
            </w:pPr>
          </w:p>
          <w:p>
            <w:pPr>
              <w:adjustRightInd w:val="0"/>
              <w:snapToGrid w:val="0"/>
              <w:ind w:firstLine="0" w:firstLineChars="0"/>
              <w:jc w:val="center"/>
              <w:rPr>
                <w:rFonts w:cs="Times New Roman" w:asciiTheme="minorEastAsia" w:hAnsiTheme="minorEastAsia"/>
                <w:b/>
                <w:szCs w:val="24"/>
              </w:rPr>
            </w:pPr>
          </w:p>
          <w:p>
            <w:pPr>
              <w:adjustRightInd w:val="0"/>
              <w:snapToGrid w:val="0"/>
              <w:ind w:firstLine="0" w:firstLineChars="0"/>
              <w:jc w:val="center"/>
              <w:rPr>
                <w:rFonts w:cs="Times New Roman" w:asciiTheme="minorEastAsia" w:hAnsiTheme="minorEastAsia"/>
                <w:b/>
                <w:szCs w:val="24"/>
              </w:rPr>
            </w:pPr>
          </w:p>
          <w:p>
            <w:pPr>
              <w:adjustRightInd w:val="0"/>
              <w:snapToGrid w:val="0"/>
              <w:ind w:firstLine="0" w:firstLineChars="0"/>
              <w:jc w:val="center"/>
              <w:rPr>
                <w:rFonts w:cs="Times New Roman" w:asciiTheme="minorEastAsia" w:hAnsiTheme="minorEastAsia"/>
                <w:b/>
                <w:szCs w:val="24"/>
              </w:rPr>
            </w:pPr>
          </w:p>
          <w:p>
            <w:pPr>
              <w:adjustRightInd w:val="0"/>
              <w:snapToGrid w:val="0"/>
              <w:ind w:firstLine="0" w:firstLineChars="0"/>
              <w:jc w:val="center"/>
              <w:rPr>
                <w:rFonts w:cs="Times New Roman" w:asciiTheme="minorEastAsia" w:hAnsiTheme="minorEastAsia"/>
                <w:b/>
                <w:szCs w:val="24"/>
              </w:rPr>
            </w:pPr>
          </w:p>
          <w:p>
            <w:pPr>
              <w:adjustRightInd w:val="0"/>
              <w:snapToGrid w:val="0"/>
              <w:ind w:firstLine="0" w:firstLineChars="0"/>
              <w:jc w:val="center"/>
              <w:rPr>
                <w:rFonts w:cs="Times New Roman" w:asciiTheme="minorEastAsia" w:hAnsiTheme="minorEastAsia"/>
                <w:b/>
                <w:szCs w:val="24"/>
              </w:rPr>
            </w:pPr>
            <w:r>
              <w:rPr>
                <w:rFonts w:hint="eastAsia" w:cs="Times New Roman" w:asciiTheme="minorEastAsia" w:hAnsiTheme="minorEastAsia"/>
                <w:b/>
                <w:szCs w:val="24"/>
              </w:rPr>
              <w:t>污染物排放控制标准</w:t>
            </w:r>
          </w:p>
        </w:tc>
        <w:tc>
          <w:tcPr>
            <w:tcW w:w="8423" w:type="dxa"/>
          </w:tcPr>
          <w:p>
            <w:pPr>
              <w:pStyle w:val="33"/>
              <w:spacing w:before="0" w:after="0" w:line="360" w:lineRule="auto"/>
              <w:ind w:firstLine="482"/>
            </w:pPr>
            <w:r>
              <w:rPr>
                <w:rFonts w:hint="eastAsia"/>
              </w:rPr>
              <w:t>1、废气排放标准</w:t>
            </w:r>
          </w:p>
          <w:p>
            <w:pPr>
              <w:ind w:firstLine="480"/>
            </w:pPr>
            <w:r>
              <w:rPr>
                <w:rFonts w:hint="eastAsia"/>
              </w:rPr>
              <w:t>施工期扬尘执行《大气污染物综合排放标准》（GB16297-1996）表2中无组织排放标准，即颗粒物无组织排放监控浓度限值</w:t>
            </w:r>
            <w:r>
              <w:t>≤</w:t>
            </w:r>
            <w:r>
              <w:rPr>
                <w:rFonts w:hint="eastAsia"/>
              </w:rPr>
              <w:t>1.0</w:t>
            </w:r>
            <w:r>
              <w:t xml:space="preserve"> mg/m</w:t>
            </w:r>
            <w:r>
              <w:rPr>
                <w:vertAlign w:val="superscript"/>
              </w:rPr>
              <w:t>3</w:t>
            </w:r>
            <w:r>
              <w:rPr>
                <w:rFonts w:hint="eastAsia"/>
              </w:rPr>
              <w:t>。</w:t>
            </w:r>
          </w:p>
          <w:p>
            <w:pPr>
              <w:ind w:firstLine="480"/>
            </w:pPr>
            <w:r>
              <w:rPr>
                <w:rFonts w:hint="eastAsia"/>
              </w:rPr>
              <w:t>运营期</w:t>
            </w:r>
            <w:r>
              <w:t>废水处理站排放的废气执行《医疗机构水污染物排放标准》（GB 18466－2005）表3中</w:t>
            </w:r>
            <w:r>
              <w:rPr>
                <w:rFonts w:hint="eastAsia"/>
              </w:rPr>
              <w:t>污水处理站周边大气污染物最高允许浓度</w:t>
            </w:r>
            <w:r>
              <w:t>标准</w:t>
            </w:r>
            <w:r>
              <w:rPr>
                <w:rFonts w:hint="eastAsia"/>
              </w:rPr>
              <w:t>；</w:t>
            </w:r>
          </w:p>
          <w:p>
            <w:pPr>
              <w:pStyle w:val="66"/>
            </w:pPr>
            <w:r>
              <w:rPr>
                <w:rFonts w:hint="eastAsia"/>
              </w:rPr>
              <w:t>表</w:t>
            </w:r>
            <w:r>
              <w:t>3-2</w:t>
            </w:r>
            <w:r>
              <w:rPr>
                <w:rFonts w:hint="eastAsia"/>
              </w:rPr>
              <w:t xml:space="preserve"> </w:t>
            </w:r>
            <w:r>
              <w:t>污水处理站周边大气污染物最高允许浓度</w:t>
            </w:r>
          </w:p>
          <w:tbl>
            <w:tblPr>
              <w:tblStyle w:val="36"/>
              <w:tblW w:w="8207"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305"/>
              <w:gridCol w:w="4085"/>
              <w:gridCol w:w="2817"/>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59" w:hRule="atLeast"/>
                <w:jc w:val="center"/>
              </w:trPr>
              <w:tc>
                <w:tcPr>
                  <w:tcW w:w="1305" w:type="dxa"/>
                  <w:tcBorders>
                    <w:tl2br w:val="nil"/>
                    <w:tr2bl w:val="nil"/>
                  </w:tcBorders>
                  <w:tcMar>
                    <w:left w:w="28" w:type="dxa"/>
                    <w:right w:w="28" w:type="dxa"/>
                  </w:tcMar>
                  <w:vAlign w:val="center"/>
                </w:tcPr>
                <w:p>
                  <w:pPr>
                    <w:pStyle w:val="146"/>
                    <w:ind w:firstLine="480"/>
                  </w:pPr>
                  <w:r>
                    <w:t>序号</w:t>
                  </w:r>
                </w:p>
              </w:tc>
              <w:tc>
                <w:tcPr>
                  <w:tcW w:w="4085" w:type="dxa"/>
                  <w:tcBorders>
                    <w:tl2br w:val="nil"/>
                    <w:tr2bl w:val="nil"/>
                  </w:tcBorders>
                  <w:vAlign w:val="center"/>
                </w:tcPr>
                <w:p>
                  <w:pPr>
                    <w:pStyle w:val="146"/>
                    <w:ind w:firstLine="480"/>
                  </w:pPr>
                  <w:r>
                    <w:t>控制项目</w:t>
                  </w:r>
                </w:p>
              </w:tc>
              <w:tc>
                <w:tcPr>
                  <w:tcW w:w="2817" w:type="dxa"/>
                  <w:tcBorders>
                    <w:tl2br w:val="nil"/>
                    <w:tr2bl w:val="nil"/>
                  </w:tcBorders>
                  <w:vAlign w:val="center"/>
                </w:tcPr>
                <w:p>
                  <w:pPr>
                    <w:pStyle w:val="146"/>
                    <w:ind w:firstLine="480"/>
                  </w:pPr>
                  <w:r>
                    <w:t>标准值</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1305" w:type="dxa"/>
                  <w:tcBorders>
                    <w:tl2br w:val="nil"/>
                    <w:tr2bl w:val="nil"/>
                  </w:tcBorders>
                  <w:tcMar>
                    <w:left w:w="28" w:type="dxa"/>
                    <w:right w:w="28" w:type="dxa"/>
                  </w:tcMar>
                  <w:vAlign w:val="center"/>
                </w:tcPr>
                <w:p>
                  <w:pPr>
                    <w:pStyle w:val="146"/>
                    <w:ind w:firstLine="480"/>
                  </w:pPr>
                  <w:r>
                    <w:t>1</w:t>
                  </w:r>
                </w:p>
              </w:tc>
              <w:tc>
                <w:tcPr>
                  <w:tcW w:w="4085" w:type="dxa"/>
                  <w:tcBorders>
                    <w:tl2br w:val="nil"/>
                    <w:tr2bl w:val="nil"/>
                  </w:tcBorders>
                  <w:vAlign w:val="center"/>
                </w:tcPr>
                <w:p>
                  <w:pPr>
                    <w:pStyle w:val="146"/>
                    <w:ind w:firstLine="480"/>
                  </w:pPr>
                  <w:r>
                    <w:t>氨（mg/m</w:t>
                  </w:r>
                  <w:r>
                    <w:rPr>
                      <w:vertAlign w:val="superscript"/>
                    </w:rPr>
                    <w:t>3</w:t>
                  </w:r>
                  <w:r>
                    <w:t>）</w:t>
                  </w:r>
                </w:p>
              </w:tc>
              <w:tc>
                <w:tcPr>
                  <w:tcW w:w="2817" w:type="dxa"/>
                  <w:tcBorders>
                    <w:tl2br w:val="nil"/>
                    <w:tr2bl w:val="nil"/>
                  </w:tcBorders>
                  <w:vAlign w:val="center"/>
                </w:tcPr>
                <w:p>
                  <w:pPr>
                    <w:pStyle w:val="146"/>
                    <w:ind w:firstLine="480"/>
                  </w:pPr>
                  <w:r>
                    <w:t>1.0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1305" w:type="dxa"/>
                  <w:tcBorders>
                    <w:tl2br w:val="nil"/>
                    <w:tr2bl w:val="nil"/>
                  </w:tcBorders>
                  <w:tcMar>
                    <w:left w:w="28" w:type="dxa"/>
                    <w:right w:w="28" w:type="dxa"/>
                  </w:tcMar>
                  <w:vAlign w:val="center"/>
                </w:tcPr>
                <w:p>
                  <w:pPr>
                    <w:pStyle w:val="146"/>
                    <w:ind w:firstLine="480"/>
                  </w:pPr>
                  <w:r>
                    <w:t>2</w:t>
                  </w:r>
                </w:p>
              </w:tc>
              <w:tc>
                <w:tcPr>
                  <w:tcW w:w="4085" w:type="dxa"/>
                  <w:tcBorders>
                    <w:tl2br w:val="nil"/>
                    <w:tr2bl w:val="nil"/>
                  </w:tcBorders>
                  <w:vAlign w:val="center"/>
                </w:tcPr>
                <w:p>
                  <w:pPr>
                    <w:pStyle w:val="146"/>
                    <w:ind w:firstLine="480"/>
                  </w:pPr>
                  <w:r>
                    <w:t>硫化氢（mg/m</w:t>
                  </w:r>
                  <w:r>
                    <w:rPr>
                      <w:vertAlign w:val="superscript"/>
                    </w:rPr>
                    <w:t>3</w:t>
                  </w:r>
                  <w:r>
                    <w:t>）</w:t>
                  </w:r>
                </w:p>
              </w:tc>
              <w:tc>
                <w:tcPr>
                  <w:tcW w:w="2817" w:type="dxa"/>
                  <w:tcBorders>
                    <w:tl2br w:val="nil"/>
                    <w:tr2bl w:val="nil"/>
                  </w:tcBorders>
                  <w:vAlign w:val="center"/>
                </w:tcPr>
                <w:p>
                  <w:pPr>
                    <w:pStyle w:val="146"/>
                    <w:ind w:firstLine="480"/>
                  </w:pPr>
                  <w:r>
                    <w:t>0.03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1305" w:type="dxa"/>
                  <w:tcBorders>
                    <w:tl2br w:val="nil"/>
                    <w:tr2bl w:val="nil"/>
                  </w:tcBorders>
                  <w:tcMar>
                    <w:left w:w="28" w:type="dxa"/>
                    <w:right w:w="28" w:type="dxa"/>
                  </w:tcMar>
                  <w:vAlign w:val="center"/>
                </w:tcPr>
                <w:p>
                  <w:pPr>
                    <w:pStyle w:val="146"/>
                    <w:ind w:firstLine="480"/>
                  </w:pPr>
                  <w:r>
                    <w:t>3</w:t>
                  </w:r>
                </w:p>
              </w:tc>
              <w:tc>
                <w:tcPr>
                  <w:tcW w:w="4085" w:type="dxa"/>
                  <w:tcBorders>
                    <w:tl2br w:val="nil"/>
                    <w:tr2bl w:val="nil"/>
                  </w:tcBorders>
                  <w:vAlign w:val="center"/>
                </w:tcPr>
                <w:p>
                  <w:pPr>
                    <w:pStyle w:val="146"/>
                    <w:ind w:firstLine="480"/>
                  </w:pPr>
                  <w:r>
                    <w:t>臭气浓度（无量纲）</w:t>
                  </w:r>
                </w:p>
              </w:tc>
              <w:tc>
                <w:tcPr>
                  <w:tcW w:w="2817" w:type="dxa"/>
                  <w:tcBorders>
                    <w:tl2br w:val="nil"/>
                    <w:tr2bl w:val="nil"/>
                  </w:tcBorders>
                  <w:vAlign w:val="center"/>
                </w:tcPr>
                <w:p>
                  <w:pPr>
                    <w:pStyle w:val="146"/>
                    <w:ind w:firstLine="480"/>
                  </w:pPr>
                  <w:r>
                    <w:t>10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1305" w:type="dxa"/>
                  <w:tcBorders>
                    <w:tl2br w:val="nil"/>
                    <w:tr2bl w:val="nil"/>
                  </w:tcBorders>
                  <w:tcMar>
                    <w:left w:w="28" w:type="dxa"/>
                    <w:right w:w="28" w:type="dxa"/>
                  </w:tcMar>
                  <w:vAlign w:val="center"/>
                </w:tcPr>
                <w:p>
                  <w:pPr>
                    <w:pStyle w:val="146"/>
                    <w:ind w:firstLine="480"/>
                  </w:pPr>
                  <w:r>
                    <w:t>4</w:t>
                  </w:r>
                </w:p>
              </w:tc>
              <w:tc>
                <w:tcPr>
                  <w:tcW w:w="4085" w:type="dxa"/>
                  <w:tcBorders>
                    <w:tl2br w:val="nil"/>
                    <w:tr2bl w:val="nil"/>
                  </w:tcBorders>
                  <w:vAlign w:val="center"/>
                </w:tcPr>
                <w:p>
                  <w:pPr>
                    <w:pStyle w:val="146"/>
                    <w:ind w:firstLine="480"/>
                  </w:pPr>
                  <w:r>
                    <w:t>氯气（mg/m</w:t>
                  </w:r>
                  <w:r>
                    <w:rPr>
                      <w:vertAlign w:val="superscript"/>
                    </w:rPr>
                    <w:t>3</w:t>
                  </w:r>
                  <w:r>
                    <w:t>）</w:t>
                  </w:r>
                </w:p>
              </w:tc>
              <w:tc>
                <w:tcPr>
                  <w:tcW w:w="2817" w:type="dxa"/>
                  <w:tcBorders>
                    <w:tl2br w:val="nil"/>
                    <w:tr2bl w:val="nil"/>
                  </w:tcBorders>
                  <w:vAlign w:val="center"/>
                </w:tcPr>
                <w:p>
                  <w:pPr>
                    <w:pStyle w:val="146"/>
                    <w:ind w:firstLine="480"/>
                  </w:pPr>
                  <w:r>
                    <w:t>0.1</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1305" w:type="dxa"/>
                  <w:tcBorders>
                    <w:tl2br w:val="nil"/>
                    <w:tr2bl w:val="nil"/>
                  </w:tcBorders>
                  <w:tcMar>
                    <w:left w:w="28" w:type="dxa"/>
                    <w:right w:w="28" w:type="dxa"/>
                  </w:tcMar>
                  <w:vAlign w:val="center"/>
                </w:tcPr>
                <w:p>
                  <w:pPr>
                    <w:pStyle w:val="146"/>
                    <w:ind w:firstLine="480"/>
                  </w:pPr>
                  <w:r>
                    <w:t>5</w:t>
                  </w:r>
                </w:p>
              </w:tc>
              <w:tc>
                <w:tcPr>
                  <w:tcW w:w="4085" w:type="dxa"/>
                  <w:tcBorders>
                    <w:tl2br w:val="nil"/>
                    <w:tr2bl w:val="nil"/>
                  </w:tcBorders>
                  <w:vAlign w:val="center"/>
                </w:tcPr>
                <w:p>
                  <w:pPr>
                    <w:pStyle w:val="146"/>
                    <w:ind w:firstLine="480"/>
                  </w:pPr>
                  <w:r>
                    <w:t>甲烷（指处理站内最高体积百分数％）</w:t>
                  </w:r>
                </w:p>
              </w:tc>
              <w:tc>
                <w:tcPr>
                  <w:tcW w:w="2817" w:type="dxa"/>
                  <w:tcBorders>
                    <w:tl2br w:val="nil"/>
                    <w:tr2bl w:val="nil"/>
                  </w:tcBorders>
                  <w:vAlign w:val="center"/>
                </w:tcPr>
                <w:p>
                  <w:pPr>
                    <w:pStyle w:val="146"/>
                    <w:ind w:firstLine="480"/>
                  </w:pPr>
                  <w:r>
                    <w:t>1</w:t>
                  </w:r>
                </w:p>
              </w:tc>
            </w:tr>
          </w:tbl>
          <w:p>
            <w:pPr>
              <w:pStyle w:val="33"/>
              <w:spacing w:before="0" w:after="0" w:line="360" w:lineRule="auto"/>
              <w:ind w:firstLine="482"/>
            </w:pPr>
            <w:r>
              <w:rPr>
                <w:rFonts w:hint="eastAsia"/>
              </w:rPr>
              <w:t>2、噪声排放标准</w:t>
            </w:r>
          </w:p>
          <w:p>
            <w:pPr>
              <w:ind w:firstLine="480"/>
            </w:pPr>
            <w:r>
              <w:rPr>
                <w:rFonts w:hint="eastAsia"/>
              </w:rPr>
              <w:t>施工现场噪声，</w:t>
            </w:r>
            <w:r>
              <w:t>执行GB12523</w:t>
            </w:r>
            <w:r>
              <w:rPr>
                <w:rFonts w:hint="eastAsia"/>
              </w:rPr>
              <w:t>-2011</w:t>
            </w:r>
            <w:r>
              <w:t>《建筑施工场界</w:t>
            </w:r>
            <w:r>
              <w:rPr>
                <w:rFonts w:hint="eastAsia"/>
              </w:rPr>
              <w:t>环境</w:t>
            </w:r>
            <w:r>
              <w:t>噪声</w:t>
            </w:r>
            <w:r>
              <w:rPr>
                <w:rFonts w:hint="eastAsia"/>
              </w:rPr>
              <w:t>排放</w:t>
            </w:r>
            <w:r>
              <w:t>标准》。</w:t>
            </w:r>
          </w:p>
          <w:p>
            <w:pPr>
              <w:pStyle w:val="66"/>
            </w:pPr>
          </w:p>
          <w:p>
            <w:pPr>
              <w:pStyle w:val="66"/>
            </w:pPr>
            <w:r>
              <w:rPr>
                <w:rFonts w:hint="eastAsia"/>
              </w:rPr>
              <w:t xml:space="preserve">表3-3 </w:t>
            </w:r>
            <w:r>
              <w:t>建筑施工场界</w:t>
            </w:r>
            <w:r>
              <w:rPr>
                <w:rFonts w:hint="eastAsia"/>
              </w:rPr>
              <w:t>环境</w:t>
            </w:r>
            <w:r>
              <w:t>噪声</w:t>
            </w:r>
            <w:r>
              <w:rPr>
                <w:rFonts w:hint="eastAsia"/>
              </w:rPr>
              <w:t xml:space="preserve">排放限值  </w:t>
            </w:r>
            <w:r>
              <w:t>单位：dB(A)</w:t>
            </w:r>
          </w:p>
          <w:tbl>
            <w:tblPr>
              <w:tblStyle w:val="36"/>
              <w:tblW w:w="8207"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915"/>
              <w:gridCol w:w="429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3915" w:type="dxa"/>
                  <w:tcBorders>
                    <w:tl2br w:val="nil"/>
                    <w:tr2bl w:val="nil"/>
                  </w:tcBorders>
                </w:tcPr>
                <w:p>
                  <w:pPr>
                    <w:pStyle w:val="146"/>
                    <w:ind w:firstLine="480"/>
                  </w:pPr>
                  <w:r>
                    <w:t>昼间</w:t>
                  </w:r>
                </w:p>
              </w:tc>
              <w:tc>
                <w:tcPr>
                  <w:tcW w:w="4292" w:type="dxa"/>
                  <w:tcBorders>
                    <w:tl2br w:val="nil"/>
                    <w:tr2bl w:val="nil"/>
                  </w:tcBorders>
                </w:tcPr>
                <w:p>
                  <w:pPr>
                    <w:pStyle w:val="146"/>
                    <w:ind w:firstLine="480"/>
                  </w:pPr>
                  <w:r>
                    <w:t>夜间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3915" w:type="dxa"/>
                  <w:tcBorders>
                    <w:tl2br w:val="nil"/>
                    <w:tr2bl w:val="nil"/>
                  </w:tcBorders>
                  <w:vAlign w:val="center"/>
                </w:tcPr>
                <w:p>
                  <w:pPr>
                    <w:pStyle w:val="146"/>
                    <w:ind w:firstLine="480"/>
                  </w:pPr>
                  <w:r>
                    <w:rPr>
                      <w:rFonts w:hint="eastAsia"/>
                    </w:rPr>
                    <w:t>70</w:t>
                  </w:r>
                </w:p>
              </w:tc>
              <w:tc>
                <w:tcPr>
                  <w:tcW w:w="4292" w:type="dxa"/>
                  <w:tcBorders>
                    <w:tl2br w:val="nil"/>
                    <w:tr2bl w:val="nil"/>
                  </w:tcBorders>
                  <w:vAlign w:val="center"/>
                </w:tcPr>
                <w:p>
                  <w:pPr>
                    <w:pStyle w:val="146"/>
                    <w:ind w:firstLine="480"/>
                  </w:pPr>
                  <w:r>
                    <w:t>5</w:t>
                  </w:r>
                  <w:r>
                    <w:rPr>
                      <w:rFonts w:hint="eastAsia"/>
                    </w:rPr>
                    <w:t>5</w:t>
                  </w:r>
                </w:p>
              </w:tc>
            </w:tr>
          </w:tbl>
          <w:p>
            <w:pPr>
              <w:ind w:firstLine="480"/>
            </w:pPr>
            <w:r>
              <w:t>营运期噪声执行《工业企业厂界环境噪声排放标准》（GB12348-2008）</w:t>
            </w:r>
            <w:r>
              <w:rPr>
                <w:rFonts w:hint="eastAsia"/>
              </w:rPr>
              <w:t>2类标准。</w:t>
            </w:r>
          </w:p>
          <w:p>
            <w:pPr>
              <w:pStyle w:val="66"/>
            </w:pPr>
            <w:r>
              <w:rPr>
                <w:rFonts w:hint="eastAsia"/>
              </w:rPr>
              <w:t xml:space="preserve">表3-4 </w:t>
            </w:r>
            <w:r>
              <w:t>工业企业厂界环境噪声</w:t>
            </w:r>
            <w:r>
              <w:rPr>
                <w:rFonts w:hint="eastAsia"/>
              </w:rPr>
              <w:t>排放</w:t>
            </w:r>
            <w:r>
              <w:t>标准</w:t>
            </w:r>
            <w:r>
              <w:rPr>
                <w:rFonts w:hint="eastAsia"/>
              </w:rPr>
              <w:t xml:space="preserve">  </w:t>
            </w:r>
            <w:r>
              <w:t>Leq：dB（A）</w:t>
            </w:r>
          </w:p>
          <w:tbl>
            <w:tblPr>
              <w:tblStyle w:val="36"/>
              <w:tblW w:w="820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291"/>
              <w:gridCol w:w="1353"/>
              <w:gridCol w:w="1206"/>
              <w:gridCol w:w="235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91" w:type="dxa"/>
                  <w:tcBorders>
                    <w:tl2br w:val="nil"/>
                    <w:tr2bl w:val="nil"/>
                  </w:tcBorders>
                  <w:vAlign w:val="center"/>
                </w:tcPr>
                <w:p>
                  <w:pPr>
                    <w:pStyle w:val="52"/>
                    <w:ind w:firstLine="480"/>
                  </w:pPr>
                  <w:r>
                    <w:rPr>
                      <w:rFonts w:hint="eastAsia"/>
                    </w:rPr>
                    <w:t>区域</w:t>
                  </w:r>
                </w:p>
              </w:tc>
              <w:tc>
                <w:tcPr>
                  <w:tcW w:w="1353" w:type="dxa"/>
                  <w:tcBorders>
                    <w:tl2br w:val="nil"/>
                    <w:tr2bl w:val="nil"/>
                  </w:tcBorders>
                  <w:vAlign w:val="center"/>
                </w:tcPr>
                <w:p>
                  <w:pPr>
                    <w:pStyle w:val="52"/>
                    <w:ind w:firstLine="480"/>
                  </w:pPr>
                  <w:r>
                    <w:t>昼间</w:t>
                  </w:r>
                </w:p>
              </w:tc>
              <w:tc>
                <w:tcPr>
                  <w:tcW w:w="1206" w:type="dxa"/>
                  <w:tcBorders>
                    <w:tl2br w:val="nil"/>
                    <w:tr2bl w:val="nil"/>
                  </w:tcBorders>
                  <w:vAlign w:val="center"/>
                </w:tcPr>
                <w:p>
                  <w:pPr>
                    <w:pStyle w:val="52"/>
                    <w:ind w:firstLine="480"/>
                  </w:pPr>
                  <w:r>
                    <w:t>夜间</w:t>
                  </w:r>
                </w:p>
              </w:tc>
              <w:tc>
                <w:tcPr>
                  <w:tcW w:w="2357" w:type="dxa"/>
                  <w:tcBorders>
                    <w:tl2br w:val="nil"/>
                    <w:tr2bl w:val="nil"/>
                  </w:tcBorders>
                  <w:vAlign w:val="center"/>
                </w:tcPr>
                <w:p>
                  <w:pPr>
                    <w:pStyle w:val="52"/>
                    <w:ind w:firstLine="480"/>
                  </w:pPr>
                  <w:r>
                    <w:rPr>
                      <w:rFonts w:hint="eastAsia"/>
                    </w:rPr>
                    <w:t>类别</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91" w:type="dxa"/>
                  <w:tcBorders>
                    <w:tl2br w:val="nil"/>
                    <w:tr2bl w:val="nil"/>
                  </w:tcBorders>
                  <w:vAlign w:val="center"/>
                </w:tcPr>
                <w:p>
                  <w:pPr>
                    <w:pStyle w:val="52"/>
                    <w:ind w:firstLine="480"/>
                  </w:pPr>
                  <w:r>
                    <w:rPr>
                      <w:rFonts w:hint="eastAsia"/>
                    </w:rPr>
                    <w:t>厂界四周</w:t>
                  </w:r>
                </w:p>
              </w:tc>
              <w:tc>
                <w:tcPr>
                  <w:tcW w:w="1353" w:type="dxa"/>
                  <w:tcBorders>
                    <w:tl2br w:val="nil"/>
                    <w:tr2bl w:val="nil"/>
                  </w:tcBorders>
                  <w:vAlign w:val="center"/>
                </w:tcPr>
                <w:p>
                  <w:pPr>
                    <w:pStyle w:val="52"/>
                    <w:ind w:firstLine="480"/>
                  </w:pPr>
                  <w:r>
                    <w:rPr>
                      <w:rFonts w:hint="eastAsia"/>
                    </w:rPr>
                    <w:t>60</w:t>
                  </w:r>
                </w:p>
              </w:tc>
              <w:tc>
                <w:tcPr>
                  <w:tcW w:w="1206" w:type="dxa"/>
                  <w:tcBorders>
                    <w:tl2br w:val="nil"/>
                    <w:tr2bl w:val="nil"/>
                  </w:tcBorders>
                  <w:vAlign w:val="center"/>
                </w:tcPr>
                <w:p>
                  <w:pPr>
                    <w:pStyle w:val="52"/>
                    <w:ind w:firstLine="480"/>
                  </w:pPr>
                  <w:r>
                    <w:rPr>
                      <w:rFonts w:hint="eastAsia"/>
                    </w:rPr>
                    <w:t>50</w:t>
                  </w:r>
                </w:p>
              </w:tc>
              <w:tc>
                <w:tcPr>
                  <w:tcW w:w="2357" w:type="dxa"/>
                  <w:tcBorders>
                    <w:tl2br w:val="nil"/>
                    <w:tr2bl w:val="nil"/>
                  </w:tcBorders>
                  <w:vAlign w:val="center"/>
                </w:tcPr>
                <w:p>
                  <w:pPr>
                    <w:pStyle w:val="52"/>
                    <w:ind w:firstLine="480"/>
                  </w:pPr>
                  <w:r>
                    <w:rPr>
                      <w:rFonts w:hint="eastAsia"/>
                    </w:rPr>
                    <w:t>2类</w:t>
                  </w:r>
                </w:p>
              </w:tc>
            </w:tr>
          </w:tbl>
          <w:p>
            <w:pPr>
              <w:pStyle w:val="33"/>
              <w:spacing w:before="0" w:after="0" w:line="360" w:lineRule="auto"/>
              <w:ind w:firstLine="482"/>
            </w:pPr>
            <w:r>
              <w:rPr>
                <w:rFonts w:hint="eastAsia"/>
              </w:rPr>
              <w:t>3、废水排放标准</w:t>
            </w:r>
          </w:p>
          <w:p>
            <w:pPr>
              <w:ind w:firstLine="482"/>
            </w:pPr>
            <w:r>
              <w:rPr>
                <w:rFonts w:hint="eastAsia"/>
                <w:b/>
                <w:bCs/>
              </w:rPr>
              <w:t>姚安县城镇污水管网建到下新屯村委会前</w:t>
            </w:r>
            <w:r>
              <w:rPr>
                <w:rFonts w:hint="eastAsia"/>
              </w:rPr>
              <w:t>，项目食堂产生含油废水经隔油池隔油处理后汇入下水道并拢其他生活废水，与医疗废水一并</w:t>
            </w:r>
            <w:r>
              <w:t>排入</w:t>
            </w:r>
            <w:r>
              <w:rPr>
                <w:rFonts w:hint="eastAsia"/>
              </w:rPr>
              <w:t>化粪池进行预处理</w:t>
            </w:r>
            <w:r>
              <w:t>，</w:t>
            </w:r>
            <w:r>
              <w:rPr>
                <w:rFonts w:hint="eastAsia"/>
              </w:rPr>
              <w:t>再</w:t>
            </w:r>
            <w:r>
              <w:t>排入</w:t>
            </w:r>
            <w:r>
              <w:rPr>
                <w:rFonts w:hint="eastAsia"/>
              </w:rPr>
              <w:t>项目自建的一体化污水处理站处理达《医疗机构水污染物排放标准》GB18466-2005表2中排放标准后，排入项目东侧农灌沟，最终进入蜻蛉河，标准限值详见表3-5；</w:t>
            </w:r>
            <w:r>
              <w:rPr>
                <w:rFonts w:hint="eastAsia"/>
                <w:b/>
                <w:bCs/>
              </w:rPr>
              <w:t>姚安县城镇污水管网建到下新屯村委会后</w:t>
            </w:r>
            <w:r>
              <w:rPr>
                <w:rFonts w:hint="eastAsia"/>
              </w:rPr>
              <w:t>，项目食堂产生含油废水经隔油池隔油处理后汇入下水道并拢其他生活废水，与医疗废水一并</w:t>
            </w:r>
            <w:r>
              <w:t>排入</w:t>
            </w:r>
            <w:r>
              <w:rPr>
                <w:rFonts w:hint="eastAsia"/>
              </w:rPr>
              <w:t>化粪池进行预处理</w:t>
            </w:r>
            <w:r>
              <w:t>，</w:t>
            </w:r>
            <w:r>
              <w:rPr>
                <w:rFonts w:hint="eastAsia"/>
              </w:rPr>
              <w:t>再</w:t>
            </w:r>
            <w:r>
              <w:t>排入</w:t>
            </w:r>
            <w:r>
              <w:rPr>
                <w:rFonts w:hint="eastAsia"/>
              </w:rPr>
              <w:t>项目自建的一体化污水处理站处理达</w:t>
            </w:r>
            <w:r>
              <w:rPr>
                <w:rFonts w:hint="eastAsia" w:cs="Times New Roman"/>
              </w:rPr>
              <w:t>《医疗机构水污染物排放标准》GB18466-2005表2中预处理标准和《污水排入城镇下水道水质标准》（</w:t>
            </w:r>
            <w:r>
              <w:rPr>
                <w:rFonts w:cs="Times New Roman"/>
              </w:rPr>
              <w:t>GB/T31962-2015</w:t>
            </w:r>
            <w:r>
              <w:rPr>
                <w:rFonts w:hint="eastAsia" w:cs="Times New Roman"/>
              </w:rPr>
              <w:t>）表</w:t>
            </w:r>
            <w:r>
              <w:rPr>
                <w:rFonts w:cs="Times New Roman"/>
              </w:rPr>
              <w:t>1</w:t>
            </w:r>
            <w:r>
              <w:rPr>
                <w:rFonts w:hint="eastAsia" w:cs="Times New Roman"/>
              </w:rPr>
              <w:t>（</w:t>
            </w:r>
            <w:r>
              <w:rPr>
                <w:rFonts w:cs="Times New Roman"/>
              </w:rPr>
              <w:t xml:space="preserve">A </w:t>
            </w:r>
            <w:r>
              <w:rPr>
                <w:rFonts w:hint="eastAsia" w:cs="Times New Roman"/>
              </w:rPr>
              <w:t>等级）标准后，排入姚安县污水管网，最终进入姚安县污水处理厂统一处理</w:t>
            </w:r>
            <w:r>
              <w:rPr>
                <w:rFonts w:hint="eastAsia"/>
              </w:rPr>
              <w:t>，标准值详见表3-6。</w:t>
            </w:r>
          </w:p>
          <w:p>
            <w:pPr>
              <w:pStyle w:val="66"/>
            </w:pPr>
            <w:r>
              <w:rPr>
                <w:rFonts w:hint="eastAsia"/>
              </w:rPr>
              <w:t>表3-5 污水管网建成前项目医疗机构水污染物排放标准  单位：mg/L</w:t>
            </w:r>
          </w:p>
          <w:tbl>
            <w:tblPr>
              <w:tblStyle w:val="36"/>
              <w:tblW w:w="818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75"/>
              <w:gridCol w:w="804"/>
              <w:gridCol w:w="567"/>
              <w:gridCol w:w="709"/>
              <w:gridCol w:w="848"/>
              <w:gridCol w:w="705"/>
              <w:gridCol w:w="993"/>
              <w:gridCol w:w="989"/>
              <w:gridCol w:w="848"/>
              <w:gridCol w:w="95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jc w:val="center"/>
              </w:trPr>
              <w:tc>
                <w:tcPr>
                  <w:tcW w:w="775" w:type="dxa"/>
                  <w:tcBorders>
                    <w:tl2br w:val="nil"/>
                    <w:tr2bl w:val="nil"/>
                  </w:tcBorders>
                  <w:tcMar>
                    <w:left w:w="0" w:type="dxa"/>
                    <w:right w:w="0" w:type="dxa"/>
                  </w:tcMar>
                  <w:vAlign w:val="center"/>
                </w:tcPr>
                <w:p>
                  <w:pPr>
                    <w:pStyle w:val="146"/>
                  </w:pPr>
                  <w:r>
                    <w:rPr>
                      <w:rFonts w:hint="eastAsia"/>
                    </w:rPr>
                    <w:t>污染物</w:t>
                  </w:r>
                </w:p>
              </w:tc>
              <w:tc>
                <w:tcPr>
                  <w:tcW w:w="804" w:type="dxa"/>
                  <w:tcBorders>
                    <w:tl2br w:val="nil"/>
                    <w:tr2bl w:val="nil"/>
                  </w:tcBorders>
                  <w:tcMar>
                    <w:left w:w="0" w:type="dxa"/>
                    <w:right w:w="0" w:type="dxa"/>
                  </w:tcMar>
                </w:tcPr>
                <w:p>
                  <w:pPr>
                    <w:pStyle w:val="146"/>
                  </w:pPr>
                  <w:r>
                    <w:t>总汞</w:t>
                  </w:r>
                </w:p>
              </w:tc>
              <w:tc>
                <w:tcPr>
                  <w:tcW w:w="567" w:type="dxa"/>
                  <w:tcBorders>
                    <w:tl2br w:val="nil"/>
                    <w:tr2bl w:val="nil"/>
                  </w:tcBorders>
                  <w:tcMar>
                    <w:left w:w="0" w:type="dxa"/>
                    <w:right w:w="0" w:type="dxa"/>
                  </w:tcMar>
                </w:tcPr>
                <w:p>
                  <w:pPr>
                    <w:pStyle w:val="146"/>
                  </w:pPr>
                  <w:r>
                    <w:t>总铬</w:t>
                  </w:r>
                </w:p>
              </w:tc>
              <w:tc>
                <w:tcPr>
                  <w:tcW w:w="709" w:type="dxa"/>
                  <w:tcBorders>
                    <w:tl2br w:val="nil"/>
                    <w:tr2bl w:val="nil"/>
                  </w:tcBorders>
                  <w:tcMar>
                    <w:left w:w="0" w:type="dxa"/>
                    <w:right w:w="0" w:type="dxa"/>
                  </w:tcMar>
                </w:tcPr>
                <w:p>
                  <w:pPr>
                    <w:pStyle w:val="146"/>
                  </w:pPr>
                  <w:r>
                    <w:rPr>
                      <w:rFonts w:hint="eastAsia"/>
                    </w:rPr>
                    <w:t>总砷</w:t>
                  </w:r>
                </w:p>
              </w:tc>
              <w:tc>
                <w:tcPr>
                  <w:tcW w:w="848" w:type="dxa"/>
                  <w:tcBorders>
                    <w:tl2br w:val="nil"/>
                    <w:tr2bl w:val="nil"/>
                  </w:tcBorders>
                  <w:tcMar>
                    <w:left w:w="0" w:type="dxa"/>
                    <w:right w:w="0" w:type="dxa"/>
                  </w:tcMar>
                </w:tcPr>
                <w:p>
                  <w:pPr>
                    <w:pStyle w:val="146"/>
                  </w:pPr>
                  <w:r>
                    <w:t>六价铬</w:t>
                  </w:r>
                </w:p>
              </w:tc>
              <w:tc>
                <w:tcPr>
                  <w:tcW w:w="705" w:type="dxa"/>
                  <w:tcBorders>
                    <w:tl2br w:val="nil"/>
                    <w:tr2bl w:val="nil"/>
                  </w:tcBorders>
                  <w:tcMar>
                    <w:left w:w="0" w:type="dxa"/>
                    <w:right w:w="0" w:type="dxa"/>
                  </w:tcMar>
                </w:tcPr>
                <w:p>
                  <w:pPr>
                    <w:pStyle w:val="146"/>
                  </w:pPr>
                  <w:r>
                    <w:t>总银</w:t>
                  </w:r>
                </w:p>
              </w:tc>
              <w:tc>
                <w:tcPr>
                  <w:tcW w:w="993" w:type="dxa"/>
                  <w:tcBorders>
                    <w:tl2br w:val="nil"/>
                    <w:tr2bl w:val="nil"/>
                  </w:tcBorders>
                  <w:tcMar>
                    <w:left w:w="0" w:type="dxa"/>
                    <w:right w:w="0" w:type="dxa"/>
                  </w:tcMar>
                </w:tcPr>
                <w:p>
                  <w:pPr>
                    <w:pStyle w:val="52"/>
                  </w:pPr>
                  <w:r>
                    <w:rPr>
                      <w:rFonts w:hint="eastAsia"/>
                    </w:rPr>
                    <w:t>阴离子表面活性剂</w:t>
                  </w:r>
                </w:p>
              </w:tc>
              <w:tc>
                <w:tcPr>
                  <w:tcW w:w="989" w:type="dxa"/>
                  <w:tcBorders>
                    <w:tl2br w:val="nil"/>
                    <w:tr2bl w:val="nil"/>
                  </w:tcBorders>
                  <w:tcMar>
                    <w:left w:w="0" w:type="dxa"/>
                    <w:right w:w="0" w:type="dxa"/>
                  </w:tcMar>
                </w:tcPr>
                <w:p>
                  <w:pPr>
                    <w:pStyle w:val="146"/>
                  </w:pPr>
                  <w:r>
                    <w:rPr>
                      <w:rFonts w:hint="eastAsia"/>
                    </w:rPr>
                    <w:t>总铅</w:t>
                  </w:r>
                </w:p>
              </w:tc>
              <w:tc>
                <w:tcPr>
                  <w:tcW w:w="848" w:type="dxa"/>
                  <w:tcBorders>
                    <w:tl2br w:val="nil"/>
                    <w:tr2bl w:val="nil"/>
                  </w:tcBorders>
                </w:tcPr>
                <w:p>
                  <w:pPr>
                    <w:pStyle w:val="146"/>
                  </w:pPr>
                  <w:r>
                    <w:rPr>
                      <w:rFonts w:hint="eastAsia"/>
                    </w:rPr>
                    <w:t>总余氯</w:t>
                  </w:r>
                </w:p>
              </w:tc>
              <w:tc>
                <w:tcPr>
                  <w:tcW w:w="950" w:type="dxa"/>
                  <w:tcBorders>
                    <w:tl2br w:val="nil"/>
                    <w:tr2bl w:val="nil"/>
                  </w:tcBorders>
                  <w:tcMar>
                    <w:left w:w="0" w:type="dxa"/>
                    <w:right w:w="0" w:type="dxa"/>
                  </w:tcMar>
                </w:tcPr>
                <w:p>
                  <w:pPr>
                    <w:pStyle w:val="52"/>
                  </w:pPr>
                  <w:r>
                    <w:t>总氰化合物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775" w:type="dxa"/>
                  <w:tcBorders>
                    <w:tl2br w:val="nil"/>
                    <w:tr2bl w:val="nil"/>
                  </w:tcBorders>
                  <w:tcMar>
                    <w:left w:w="0" w:type="dxa"/>
                    <w:right w:w="0" w:type="dxa"/>
                  </w:tcMar>
                </w:tcPr>
                <w:p>
                  <w:pPr>
                    <w:pStyle w:val="146"/>
                  </w:pPr>
                  <w:r>
                    <w:rPr>
                      <w:rFonts w:hint="eastAsia"/>
                    </w:rPr>
                    <w:t>限值</w:t>
                  </w:r>
                </w:p>
              </w:tc>
              <w:tc>
                <w:tcPr>
                  <w:tcW w:w="804" w:type="dxa"/>
                  <w:tcBorders>
                    <w:tl2br w:val="nil"/>
                    <w:tr2bl w:val="nil"/>
                  </w:tcBorders>
                  <w:tcMar>
                    <w:left w:w="0" w:type="dxa"/>
                    <w:right w:w="0" w:type="dxa"/>
                  </w:tcMar>
                </w:tcPr>
                <w:p>
                  <w:pPr>
                    <w:pStyle w:val="146"/>
                  </w:pPr>
                  <w:r>
                    <w:t>0.0</w:t>
                  </w:r>
                </w:p>
              </w:tc>
              <w:tc>
                <w:tcPr>
                  <w:tcW w:w="567" w:type="dxa"/>
                  <w:tcBorders>
                    <w:tl2br w:val="nil"/>
                    <w:tr2bl w:val="nil"/>
                  </w:tcBorders>
                  <w:tcMar>
                    <w:left w:w="0" w:type="dxa"/>
                    <w:right w:w="0" w:type="dxa"/>
                  </w:tcMar>
                </w:tcPr>
                <w:p>
                  <w:pPr>
                    <w:pStyle w:val="146"/>
                  </w:pPr>
                  <w:r>
                    <w:t>1.5</w:t>
                  </w:r>
                </w:p>
              </w:tc>
              <w:tc>
                <w:tcPr>
                  <w:tcW w:w="709" w:type="dxa"/>
                  <w:tcBorders>
                    <w:tl2br w:val="nil"/>
                    <w:tr2bl w:val="nil"/>
                  </w:tcBorders>
                  <w:tcMar>
                    <w:left w:w="0" w:type="dxa"/>
                    <w:right w:w="0" w:type="dxa"/>
                  </w:tcMar>
                </w:tcPr>
                <w:p>
                  <w:pPr>
                    <w:pStyle w:val="146"/>
                  </w:pPr>
                  <w:r>
                    <w:rPr>
                      <w:rFonts w:hint="eastAsia"/>
                    </w:rPr>
                    <w:t>0.5</w:t>
                  </w:r>
                </w:p>
              </w:tc>
              <w:tc>
                <w:tcPr>
                  <w:tcW w:w="848" w:type="dxa"/>
                  <w:tcBorders>
                    <w:tl2br w:val="nil"/>
                    <w:tr2bl w:val="nil"/>
                  </w:tcBorders>
                  <w:tcMar>
                    <w:left w:w="0" w:type="dxa"/>
                    <w:right w:w="0" w:type="dxa"/>
                  </w:tcMar>
                </w:tcPr>
                <w:p>
                  <w:pPr>
                    <w:pStyle w:val="146"/>
                  </w:pPr>
                  <w:r>
                    <w:t>0.5</w:t>
                  </w:r>
                </w:p>
              </w:tc>
              <w:tc>
                <w:tcPr>
                  <w:tcW w:w="705" w:type="dxa"/>
                  <w:tcBorders>
                    <w:tl2br w:val="nil"/>
                    <w:tr2bl w:val="nil"/>
                  </w:tcBorders>
                  <w:tcMar>
                    <w:left w:w="0" w:type="dxa"/>
                    <w:right w:w="0" w:type="dxa"/>
                  </w:tcMar>
                </w:tcPr>
                <w:p>
                  <w:pPr>
                    <w:pStyle w:val="146"/>
                  </w:pPr>
                  <w:r>
                    <w:t>0.5</w:t>
                  </w:r>
                </w:p>
              </w:tc>
              <w:tc>
                <w:tcPr>
                  <w:tcW w:w="993" w:type="dxa"/>
                  <w:tcBorders>
                    <w:tl2br w:val="nil"/>
                    <w:tr2bl w:val="nil"/>
                  </w:tcBorders>
                  <w:tcMar>
                    <w:left w:w="0" w:type="dxa"/>
                    <w:right w:w="0" w:type="dxa"/>
                  </w:tcMar>
                </w:tcPr>
                <w:p>
                  <w:pPr>
                    <w:pStyle w:val="146"/>
                  </w:pPr>
                  <w:r>
                    <w:rPr>
                      <w:rFonts w:hint="eastAsia"/>
                    </w:rPr>
                    <w:t>5</w:t>
                  </w:r>
                </w:p>
              </w:tc>
              <w:tc>
                <w:tcPr>
                  <w:tcW w:w="989" w:type="dxa"/>
                  <w:tcBorders>
                    <w:tl2br w:val="nil"/>
                    <w:tr2bl w:val="nil"/>
                  </w:tcBorders>
                  <w:tcMar>
                    <w:left w:w="0" w:type="dxa"/>
                    <w:right w:w="0" w:type="dxa"/>
                  </w:tcMar>
                </w:tcPr>
                <w:p>
                  <w:pPr>
                    <w:pStyle w:val="146"/>
                  </w:pPr>
                  <w:r>
                    <w:rPr>
                      <w:rFonts w:hint="eastAsia"/>
                    </w:rPr>
                    <w:t>1.0</w:t>
                  </w:r>
                </w:p>
              </w:tc>
              <w:tc>
                <w:tcPr>
                  <w:tcW w:w="848" w:type="dxa"/>
                  <w:tcBorders>
                    <w:tl2br w:val="nil"/>
                    <w:tr2bl w:val="nil"/>
                  </w:tcBorders>
                </w:tcPr>
                <w:p>
                  <w:pPr>
                    <w:pStyle w:val="146"/>
                  </w:pPr>
                  <w:r>
                    <w:rPr>
                      <w:rFonts w:hint="eastAsia"/>
                    </w:rPr>
                    <w:t>0.5</w:t>
                  </w:r>
                </w:p>
              </w:tc>
              <w:tc>
                <w:tcPr>
                  <w:tcW w:w="950" w:type="dxa"/>
                  <w:tcBorders>
                    <w:tl2br w:val="nil"/>
                    <w:tr2bl w:val="nil"/>
                  </w:tcBorders>
                  <w:tcMar>
                    <w:left w:w="0" w:type="dxa"/>
                    <w:right w:w="0" w:type="dxa"/>
                  </w:tcMar>
                </w:tcPr>
                <w:p>
                  <w:pPr>
                    <w:pStyle w:val="146"/>
                  </w:pPr>
                  <w:r>
                    <w:t>0.5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775" w:type="dxa"/>
                  <w:tcBorders>
                    <w:tl2br w:val="nil"/>
                    <w:tr2bl w:val="nil"/>
                  </w:tcBorders>
                  <w:tcMar>
                    <w:left w:w="0" w:type="dxa"/>
                    <w:right w:w="0" w:type="dxa"/>
                  </w:tcMar>
                </w:tcPr>
                <w:p>
                  <w:pPr>
                    <w:pStyle w:val="146"/>
                  </w:pPr>
                  <w:r>
                    <w:rPr>
                      <w:rFonts w:hint="eastAsia"/>
                    </w:rPr>
                    <w:t>污染物</w:t>
                  </w:r>
                </w:p>
              </w:tc>
              <w:tc>
                <w:tcPr>
                  <w:tcW w:w="804" w:type="dxa"/>
                  <w:tcBorders>
                    <w:tl2br w:val="nil"/>
                    <w:tr2bl w:val="nil"/>
                  </w:tcBorders>
                  <w:tcMar>
                    <w:left w:w="0" w:type="dxa"/>
                    <w:right w:w="0" w:type="dxa"/>
                  </w:tcMar>
                </w:tcPr>
                <w:p>
                  <w:pPr>
                    <w:pStyle w:val="146"/>
                  </w:pPr>
                  <w:r>
                    <w:t>pH值</w:t>
                  </w:r>
                </w:p>
              </w:tc>
              <w:tc>
                <w:tcPr>
                  <w:tcW w:w="567" w:type="dxa"/>
                  <w:tcBorders>
                    <w:tl2br w:val="nil"/>
                    <w:tr2bl w:val="nil"/>
                  </w:tcBorders>
                  <w:tcMar>
                    <w:left w:w="0" w:type="dxa"/>
                    <w:right w:w="0" w:type="dxa"/>
                  </w:tcMar>
                </w:tcPr>
                <w:p>
                  <w:pPr>
                    <w:pStyle w:val="146"/>
                  </w:pPr>
                  <w:r>
                    <w:t>SS</w:t>
                  </w:r>
                </w:p>
              </w:tc>
              <w:tc>
                <w:tcPr>
                  <w:tcW w:w="709" w:type="dxa"/>
                  <w:tcBorders>
                    <w:tl2br w:val="nil"/>
                    <w:tr2bl w:val="nil"/>
                  </w:tcBorders>
                  <w:tcMar>
                    <w:left w:w="0" w:type="dxa"/>
                    <w:right w:w="0" w:type="dxa"/>
                  </w:tcMar>
                </w:tcPr>
                <w:p>
                  <w:pPr>
                    <w:pStyle w:val="146"/>
                  </w:pPr>
                  <w:r>
                    <w:rPr>
                      <w:rFonts w:hint="eastAsia"/>
                    </w:rPr>
                    <w:t>石油类</w:t>
                  </w:r>
                </w:p>
              </w:tc>
              <w:tc>
                <w:tcPr>
                  <w:tcW w:w="848" w:type="dxa"/>
                  <w:tcBorders>
                    <w:tl2br w:val="nil"/>
                    <w:tr2bl w:val="nil"/>
                  </w:tcBorders>
                  <w:tcMar>
                    <w:left w:w="0" w:type="dxa"/>
                    <w:right w:w="0" w:type="dxa"/>
                  </w:tcMar>
                </w:tcPr>
                <w:p>
                  <w:pPr>
                    <w:pStyle w:val="146"/>
                  </w:pPr>
                  <w:r>
                    <w:t>COD</w:t>
                  </w:r>
                </w:p>
              </w:tc>
              <w:tc>
                <w:tcPr>
                  <w:tcW w:w="705" w:type="dxa"/>
                  <w:tcBorders>
                    <w:tl2br w:val="nil"/>
                    <w:tr2bl w:val="nil"/>
                  </w:tcBorders>
                  <w:tcMar>
                    <w:left w:w="0" w:type="dxa"/>
                    <w:right w:w="0" w:type="dxa"/>
                  </w:tcMar>
                </w:tcPr>
                <w:p>
                  <w:pPr>
                    <w:pStyle w:val="146"/>
                  </w:pPr>
                  <w:r>
                    <w:t>NH</w:t>
                  </w:r>
                  <w:r>
                    <w:rPr>
                      <w:vertAlign w:val="subscript"/>
                    </w:rPr>
                    <w:t>3</w:t>
                  </w:r>
                  <w:r>
                    <w:t>-N</w:t>
                  </w:r>
                </w:p>
              </w:tc>
              <w:tc>
                <w:tcPr>
                  <w:tcW w:w="993" w:type="dxa"/>
                  <w:tcBorders>
                    <w:tl2br w:val="nil"/>
                    <w:tr2bl w:val="nil"/>
                  </w:tcBorders>
                  <w:tcMar>
                    <w:left w:w="0" w:type="dxa"/>
                    <w:right w:w="0" w:type="dxa"/>
                  </w:tcMar>
                </w:tcPr>
                <w:p>
                  <w:pPr>
                    <w:pStyle w:val="146"/>
                  </w:pPr>
                  <w:r>
                    <w:t>BOD</w:t>
                  </w:r>
                </w:p>
              </w:tc>
              <w:tc>
                <w:tcPr>
                  <w:tcW w:w="989" w:type="dxa"/>
                  <w:tcBorders>
                    <w:tl2br w:val="nil"/>
                    <w:tr2bl w:val="nil"/>
                  </w:tcBorders>
                  <w:tcMar>
                    <w:left w:w="0" w:type="dxa"/>
                    <w:right w:w="0" w:type="dxa"/>
                  </w:tcMar>
                </w:tcPr>
                <w:p>
                  <w:pPr>
                    <w:pStyle w:val="146"/>
                  </w:pPr>
                  <w:r>
                    <w:t>动植物油</w:t>
                  </w:r>
                </w:p>
              </w:tc>
              <w:tc>
                <w:tcPr>
                  <w:tcW w:w="848" w:type="dxa"/>
                  <w:tcBorders>
                    <w:tl2br w:val="nil"/>
                    <w:tr2bl w:val="nil"/>
                  </w:tcBorders>
                </w:tcPr>
                <w:p>
                  <w:pPr>
                    <w:pStyle w:val="146"/>
                  </w:pPr>
                  <w:r>
                    <w:rPr>
                      <w:rFonts w:hint="eastAsia"/>
                    </w:rPr>
                    <w:t>挥发酚</w:t>
                  </w:r>
                </w:p>
              </w:tc>
              <w:tc>
                <w:tcPr>
                  <w:tcW w:w="950" w:type="dxa"/>
                  <w:tcBorders>
                    <w:tl2br w:val="nil"/>
                    <w:tr2bl w:val="nil"/>
                  </w:tcBorders>
                  <w:tcMar>
                    <w:left w:w="0" w:type="dxa"/>
                    <w:right w:w="0" w:type="dxa"/>
                  </w:tcMar>
                </w:tcPr>
                <w:p>
                  <w:pPr>
                    <w:pStyle w:val="52"/>
                  </w:pPr>
                  <w:r>
                    <w:t>粪大肠菌群数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775" w:type="dxa"/>
                  <w:tcBorders>
                    <w:tl2br w:val="nil"/>
                    <w:tr2bl w:val="nil"/>
                  </w:tcBorders>
                  <w:tcMar>
                    <w:left w:w="0" w:type="dxa"/>
                    <w:right w:w="0" w:type="dxa"/>
                  </w:tcMar>
                </w:tcPr>
                <w:p>
                  <w:pPr>
                    <w:pStyle w:val="146"/>
                  </w:pPr>
                  <w:r>
                    <w:rPr>
                      <w:rFonts w:hint="eastAsia"/>
                    </w:rPr>
                    <w:t>限值</w:t>
                  </w:r>
                </w:p>
              </w:tc>
              <w:tc>
                <w:tcPr>
                  <w:tcW w:w="804" w:type="dxa"/>
                  <w:tcBorders>
                    <w:tl2br w:val="nil"/>
                    <w:tr2bl w:val="nil"/>
                  </w:tcBorders>
                  <w:tcMar>
                    <w:left w:w="0" w:type="dxa"/>
                    <w:right w:w="0" w:type="dxa"/>
                  </w:tcMar>
                </w:tcPr>
                <w:p>
                  <w:pPr>
                    <w:pStyle w:val="146"/>
                  </w:pPr>
                  <w:r>
                    <w:t>6-9</w:t>
                  </w:r>
                </w:p>
              </w:tc>
              <w:tc>
                <w:tcPr>
                  <w:tcW w:w="567" w:type="dxa"/>
                  <w:tcBorders>
                    <w:tl2br w:val="nil"/>
                    <w:tr2bl w:val="nil"/>
                  </w:tcBorders>
                  <w:tcMar>
                    <w:left w:w="0" w:type="dxa"/>
                    <w:right w:w="0" w:type="dxa"/>
                  </w:tcMar>
                </w:tcPr>
                <w:p>
                  <w:pPr>
                    <w:pStyle w:val="146"/>
                  </w:pPr>
                  <w:r>
                    <w:rPr>
                      <w:rFonts w:hint="eastAsia"/>
                    </w:rPr>
                    <w:t>20</w:t>
                  </w:r>
                </w:p>
              </w:tc>
              <w:tc>
                <w:tcPr>
                  <w:tcW w:w="709" w:type="dxa"/>
                  <w:tcBorders>
                    <w:tl2br w:val="nil"/>
                    <w:tr2bl w:val="nil"/>
                  </w:tcBorders>
                  <w:tcMar>
                    <w:left w:w="0" w:type="dxa"/>
                    <w:right w:w="0" w:type="dxa"/>
                  </w:tcMar>
                </w:tcPr>
                <w:p>
                  <w:pPr>
                    <w:pStyle w:val="146"/>
                  </w:pPr>
                  <w:r>
                    <w:rPr>
                      <w:rFonts w:hint="eastAsia"/>
                    </w:rPr>
                    <w:t>5</w:t>
                  </w:r>
                </w:p>
              </w:tc>
              <w:tc>
                <w:tcPr>
                  <w:tcW w:w="848" w:type="dxa"/>
                  <w:tcBorders>
                    <w:tl2br w:val="nil"/>
                    <w:tr2bl w:val="nil"/>
                  </w:tcBorders>
                  <w:tcMar>
                    <w:left w:w="0" w:type="dxa"/>
                    <w:right w:w="0" w:type="dxa"/>
                  </w:tcMar>
                </w:tcPr>
                <w:p>
                  <w:pPr>
                    <w:pStyle w:val="146"/>
                  </w:pPr>
                  <w:r>
                    <w:rPr>
                      <w:rFonts w:hint="eastAsia"/>
                    </w:rPr>
                    <w:t>60</w:t>
                  </w:r>
                </w:p>
              </w:tc>
              <w:tc>
                <w:tcPr>
                  <w:tcW w:w="705" w:type="dxa"/>
                  <w:tcBorders>
                    <w:tl2br w:val="nil"/>
                    <w:tr2bl w:val="nil"/>
                  </w:tcBorders>
                  <w:tcMar>
                    <w:left w:w="0" w:type="dxa"/>
                    <w:right w:w="0" w:type="dxa"/>
                  </w:tcMar>
                </w:tcPr>
                <w:p>
                  <w:pPr>
                    <w:pStyle w:val="146"/>
                  </w:pPr>
                  <w:r>
                    <w:rPr>
                      <w:rFonts w:hint="eastAsia"/>
                    </w:rPr>
                    <w:t>15</w:t>
                  </w:r>
                </w:p>
              </w:tc>
              <w:tc>
                <w:tcPr>
                  <w:tcW w:w="993" w:type="dxa"/>
                  <w:tcBorders>
                    <w:tl2br w:val="nil"/>
                    <w:tr2bl w:val="nil"/>
                  </w:tcBorders>
                  <w:tcMar>
                    <w:left w:w="0" w:type="dxa"/>
                    <w:right w:w="0" w:type="dxa"/>
                  </w:tcMar>
                </w:tcPr>
                <w:p>
                  <w:pPr>
                    <w:pStyle w:val="146"/>
                  </w:pPr>
                  <w:r>
                    <w:rPr>
                      <w:rFonts w:hint="eastAsia"/>
                    </w:rPr>
                    <w:t>20</w:t>
                  </w:r>
                </w:p>
              </w:tc>
              <w:tc>
                <w:tcPr>
                  <w:tcW w:w="989" w:type="dxa"/>
                  <w:tcBorders>
                    <w:tl2br w:val="nil"/>
                    <w:tr2bl w:val="nil"/>
                  </w:tcBorders>
                  <w:tcMar>
                    <w:left w:w="0" w:type="dxa"/>
                    <w:right w:w="0" w:type="dxa"/>
                  </w:tcMar>
                </w:tcPr>
                <w:p>
                  <w:pPr>
                    <w:pStyle w:val="146"/>
                  </w:pPr>
                  <w:r>
                    <w:t>5</w:t>
                  </w:r>
                </w:p>
              </w:tc>
              <w:tc>
                <w:tcPr>
                  <w:tcW w:w="848" w:type="dxa"/>
                  <w:tcBorders>
                    <w:tl2br w:val="nil"/>
                    <w:tr2bl w:val="nil"/>
                  </w:tcBorders>
                </w:tcPr>
                <w:p>
                  <w:pPr>
                    <w:pStyle w:val="146"/>
                  </w:pPr>
                  <w:r>
                    <w:rPr>
                      <w:rFonts w:hint="eastAsia"/>
                    </w:rPr>
                    <w:t>0.5</w:t>
                  </w:r>
                </w:p>
              </w:tc>
              <w:tc>
                <w:tcPr>
                  <w:tcW w:w="950" w:type="dxa"/>
                  <w:tcBorders>
                    <w:tl2br w:val="nil"/>
                    <w:tr2bl w:val="nil"/>
                  </w:tcBorders>
                  <w:tcMar>
                    <w:left w:w="0" w:type="dxa"/>
                    <w:right w:w="0" w:type="dxa"/>
                  </w:tcMar>
                </w:tcPr>
                <w:p>
                  <w:pPr>
                    <w:pStyle w:val="146"/>
                  </w:pPr>
                  <w:r>
                    <w:t>500</w:t>
                  </w:r>
                </w:p>
              </w:tc>
            </w:tr>
          </w:tbl>
          <w:p>
            <w:pPr>
              <w:pStyle w:val="66"/>
            </w:pPr>
          </w:p>
          <w:p>
            <w:pPr>
              <w:pStyle w:val="66"/>
            </w:pPr>
          </w:p>
          <w:p>
            <w:pPr>
              <w:pStyle w:val="66"/>
            </w:pPr>
          </w:p>
          <w:p>
            <w:pPr>
              <w:pStyle w:val="66"/>
            </w:pPr>
          </w:p>
          <w:p>
            <w:pPr>
              <w:pStyle w:val="66"/>
            </w:pPr>
          </w:p>
          <w:p>
            <w:pPr>
              <w:pStyle w:val="66"/>
            </w:pPr>
          </w:p>
          <w:p>
            <w:pPr>
              <w:pStyle w:val="66"/>
            </w:pPr>
          </w:p>
          <w:p>
            <w:pPr>
              <w:pStyle w:val="66"/>
            </w:pPr>
            <w:r>
              <w:rPr>
                <w:rFonts w:hint="eastAsia"/>
              </w:rPr>
              <w:t>表3-6  污水管网建成后项目废水排放标准  单位：pH除外，其余均为mg/L</w:t>
            </w:r>
          </w:p>
          <w:tbl>
            <w:tblPr>
              <w:tblStyle w:val="37"/>
              <w:tblW w:w="8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0"/>
              <w:gridCol w:w="2836"/>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vAlign w:val="center"/>
                </w:tcPr>
                <w:p>
                  <w:pPr>
                    <w:pStyle w:val="66"/>
                    <w:rPr>
                      <w:sz w:val="21"/>
                      <w:szCs w:val="21"/>
                    </w:rPr>
                  </w:pPr>
                  <w:r>
                    <w:rPr>
                      <w:rFonts w:hint="eastAsia"/>
                      <w:sz w:val="21"/>
                      <w:szCs w:val="21"/>
                    </w:rPr>
                    <w:t>标准类别</w:t>
                  </w:r>
                </w:p>
              </w:tc>
              <w:tc>
                <w:tcPr>
                  <w:tcW w:w="2836" w:type="dxa"/>
                  <w:vAlign w:val="center"/>
                </w:tcPr>
                <w:p>
                  <w:pPr>
                    <w:pStyle w:val="66"/>
                    <w:rPr>
                      <w:sz w:val="21"/>
                      <w:szCs w:val="21"/>
                    </w:rPr>
                  </w:pPr>
                  <w:r>
                    <w:rPr>
                      <w:rFonts w:hint="eastAsia"/>
                      <w:sz w:val="21"/>
                      <w:szCs w:val="21"/>
                    </w:rPr>
                    <w:t>《医疗机构水污染物排放标准》GB18466-2005表2中预处理标准</w:t>
                  </w:r>
                </w:p>
              </w:tc>
              <w:tc>
                <w:tcPr>
                  <w:tcW w:w="2881" w:type="dxa"/>
                  <w:vAlign w:val="center"/>
                </w:tcPr>
                <w:p>
                  <w:pPr>
                    <w:pStyle w:val="66"/>
                    <w:rPr>
                      <w:sz w:val="21"/>
                      <w:szCs w:val="21"/>
                    </w:rPr>
                  </w:pPr>
                  <w:r>
                    <w:rPr>
                      <w:rFonts w:hint="eastAsia" w:ascii="宋体" w:hAnsi="宋体" w:cs="宋体"/>
                      <w:kern w:val="0"/>
                      <w:sz w:val="21"/>
                      <w:szCs w:val="21"/>
                      <w:lang w:bidi="ar"/>
                    </w:rPr>
                    <w:t>《污水排入城镇下水道水质标准》（</w:t>
                  </w:r>
                  <w:r>
                    <w:rPr>
                      <w:kern w:val="0"/>
                      <w:sz w:val="21"/>
                      <w:szCs w:val="21"/>
                      <w:lang w:bidi="ar"/>
                    </w:rPr>
                    <w:t>GB/T31962-2015</w:t>
                  </w:r>
                  <w:r>
                    <w:rPr>
                      <w:rFonts w:hint="eastAsia" w:ascii="宋体" w:hAnsi="宋体" w:cs="宋体"/>
                      <w:kern w:val="0"/>
                      <w:sz w:val="21"/>
                      <w:szCs w:val="21"/>
                      <w:lang w:bidi="ar"/>
                    </w:rPr>
                    <w:t xml:space="preserve">）表 </w:t>
                  </w:r>
                  <w:r>
                    <w:rPr>
                      <w:kern w:val="0"/>
                      <w:sz w:val="21"/>
                      <w:szCs w:val="21"/>
                      <w:lang w:bidi="ar"/>
                    </w:rPr>
                    <w:t>1</w:t>
                  </w:r>
                  <w:r>
                    <w:rPr>
                      <w:rFonts w:hint="eastAsia" w:ascii="宋体" w:hAnsi="宋体" w:cs="宋体"/>
                      <w:kern w:val="0"/>
                      <w:sz w:val="21"/>
                      <w:szCs w:val="21"/>
                      <w:lang w:bidi="ar"/>
                    </w:rPr>
                    <w:t>（</w:t>
                  </w:r>
                  <w:r>
                    <w:rPr>
                      <w:kern w:val="0"/>
                      <w:sz w:val="21"/>
                      <w:szCs w:val="21"/>
                      <w:lang w:bidi="ar"/>
                    </w:rPr>
                    <w:t xml:space="preserve">A </w:t>
                  </w:r>
                  <w:r>
                    <w:rPr>
                      <w:rFonts w:hint="eastAsia" w:ascii="宋体" w:hAnsi="宋体" w:cs="宋体"/>
                      <w:kern w:val="0"/>
                      <w:sz w:val="21"/>
                      <w:szCs w:val="21"/>
                      <w:lang w:bidi="ar"/>
                    </w:rPr>
                    <w:t>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Pr>
                <w:p>
                  <w:pPr>
                    <w:pStyle w:val="66"/>
                    <w:rPr>
                      <w:b w:val="0"/>
                      <w:bCs w:val="0"/>
                      <w:sz w:val="21"/>
                      <w:szCs w:val="21"/>
                    </w:rPr>
                  </w:pPr>
                  <w:r>
                    <w:rPr>
                      <w:b w:val="0"/>
                      <w:bCs w:val="0"/>
                      <w:sz w:val="21"/>
                      <w:szCs w:val="21"/>
                    </w:rPr>
                    <w:t>粪大肠菌群数</w:t>
                  </w:r>
                  <w:r>
                    <w:rPr>
                      <w:rFonts w:hint="eastAsia"/>
                      <w:b w:val="0"/>
                      <w:bCs w:val="0"/>
                      <w:sz w:val="21"/>
                      <w:szCs w:val="21"/>
                    </w:rPr>
                    <w:t>（MPN/L）</w:t>
                  </w:r>
                </w:p>
              </w:tc>
              <w:tc>
                <w:tcPr>
                  <w:tcW w:w="2836" w:type="dxa"/>
                </w:tcPr>
                <w:p>
                  <w:pPr>
                    <w:pStyle w:val="66"/>
                    <w:rPr>
                      <w:b w:val="0"/>
                      <w:bCs w:val="0"/>
                      <w:sz w:val="21"/>
                      <w:szCs w:val="21"/>
                    </w:rPr>
                  </w:pPr>
                  <w:r>
                    <w:rPr>
                      <w:rFonts w:hint="eastAsia"/>
                      <w:b w:val="0"/>
                      <w:bCs w:val="0"/>
                      <w:sz w:val="21"/>
                      <w:szCs w:val="21"/>
                    </w:rPr>
                    <w:t>500</w:t>
                  </w:r>
                </w:p>
              </w:tc>
              <w:tc>
                <w:tcPr>
                  <w:tcW w:w="2881" w:type="dxa"/>
                </w:tcPr>
                <w:p>
                  <w:pPr>
                    <w:pStyle w:val="66"/>
                    <w:rPr>
                      <w:b w:val="0"/>
                      <w:bCs w:val="0"/>
                      <w:sz w:val="21"/>
                      <w:szCs w:val="21"/>
                    </w:rPr>
                  </w:pPr>
                  <w:r>
                    <w:rPr>
                      <w:rFonts w:hint="eastAsia"/>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Pr>
                <w:p>
                  <w:pPr>
                    <w:pStyle w:val="66"/>
                    <w:rPr>
                      <w:b w:val="0"/>
                      <w:bCs w:val="0"/>
                      <w:sz w:val="21"/>
                      <w:szCs w:val="21"/>
                    </w:rPr>
                  </w:pPr>
                  <w:r>
                    <w:rPr>
                      <w:rFonts w:hint="eastAsia"/>
                      <w:b w:val="0"/>
                      <w:bCs w:val="0"/>
                      <w:sz w:val="21"/>
                      <w:szCs w:val="21"/>
                    </w:rPr>
                    <w:t>肠道致病菌</w:t>
                  </w:r>
                </w:p>
              </w:tc>
              <w:tc>
                <w:tcPr>
                  <w:tcW w:w="2836" w:type="dxa"/>
                </w:tcPr>
                <w:p>
                  <w:pPr>
                    <w:pStyle w:val="66"/>
                    <w:rPr>
                      <w:b w:val="0"/>
                      <w:bCs w:val="0"/>
                      <w:sz w:val="21"/>
                      <w:szCs w:val="21"/>
                    </w:rPr>
                  </w:pPr>
                  <w:r>
                    <w:rPr>
                      <w:rFonts w:hint="eastAsia"/>
                      <w:b w:val="0"/>
                      <w:bCs w:val="0"/>
                      <w:sz w:val="21"/>
                      <w:szCs w:val="21"/>
                    </w:rPr>
                    <w:t>—</w:t>
                  </w:r>
                </w:p>
              </w:tc>
              <w:tc>
                <w:tcPr>
                  <w:tcW w:w="2881" w:type="dxa"/>
                </w:tcPr>
                <w:p>
                  <w:pPr>
                    <w:pStyle w:val="66"/>
                    <w:rPr>
                      <w:b w:val="0"/>
                      <w:bCs w:val="0"/>
                      <w:sz w:val="21"/>
                      <w:szCs w:val="21"/>
                    </w:rPr>
                  </w:pPr>
                  <w:r>
                    <w:rPr>
                      <w:rFonts w:hint="eastAsia"/>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Pr>
                <w:p>
                  <w:pPr>
                    <w:pStyle w:val="66"/>
                    <w:rPr>
                      <w:b w:val="0"/>
                      <w:bCs w:val="0"/>
                      <w:sz w:val="21"/>
                      <w:szCs w:val="21"/>
                    </w:rPr>
                  </w:pPr>
                  <w:r>
                    <w:rPr>
                      <w:rFonts w:hint="eastAsia"/>
                      <w:b w:val="0"/>
                      <w:bCs w:val="0"/>
                      <w:sz w:val="21"/>
                      <w:szCs w:val="21"/>
                    </w:rPr>
                    <w:t>肠道病毒</w:t>
                  </w:r>
                </w:p>
              </w:tc>
              <w:tc>
                <w:tcPr>
                  <w:tcW w:w="2836" w:type="dxa"/>
                </w:tcPr>
                <w:p>
                  <w:pPr>
                    <w:pStyle w:val="66"/>
                    <w:rPr>
                      <w:b w:val="0"/>
                      <w:bCs w:val="0"/>
                      <w:sz w:val="21"/>
                      <w:szCs w:val="21"/>
                    </w:rPr>
                  </w:pPr>
                  <w:r>
                    <w:rPr>
                      <w:rFonts w:hint="eastAsia"/>
                      <w:b w:val="0"/>
                      <w:bCs w:val="0"/>
                      <w:sz w:val="21"/>
                      <w:szCs w:val="21"/>
                    </w:rPr>
                    <w:t>—</w:t>
                  </w:r>
                </w:p>
              </w:tc>
              <w:tc>
                <w:tcPr>
                  <w:tcW w:w="2881" w:type="dxa"/>
                </w:tcPr>
                <w:p>
                  <w:pPr>
                    <w:pStyle w:val="66"/>
                    <w:rPr>
                      <w:b w:val="0"/>
                      <w:bCs w:val="0"/>
                      <w:sz w:val="21"/>
                      <w:szCs w:val="21"/>
                    </w:rPr>
                  </w:pPr>
                  <w:r>
                    <w:rPr>
                      <w:rFonts w:hint="eastAsia"/>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Pr>
                <w:p>
                  <w:pPr>
                    <w:pStyle w:val="66"/>
                    <w:rPr>
                      <w:b w:val="0"/>
                      <w:bCs w:val="0"/>
                      <w:sz w:val="21"/>
                      <w:szCs w:val="21"/>
                    </w:rPr>
                  </w:pPr>
                  <w:r>
                    <w:rPr>
                      <w:rFonts w:hint="eastAsia"/>
                      <w:b w:val="0"/>
                      <w:bCs w:val="0"/>
                      <w:sz w:val="21"/>
                      <w:szCs w:val="21"/>
                    </w:rPr>
                    <w:t>pH</w:t>
                  </w:r>
                </w:p>
              </w:tc>
              <w:tc>
                <w:tcPr>
                  <w:tcW w:w="2836" w:type="dxa"/>
                </w:tcPr>
                <w:p>
                  <w:pPr>
                    <w:pStyle w:val="66"/>
                    <w:rPr>
                      <w:b w:val="0"/>
                      <w:bCs w:val="0"/>
                      <w:sz w:val="21"/>
                      <w:szCs w:val="21"/>
                    </w:rPr>
                  </w:pPr>
                  <w:r>
                    <w:rPr>
                      <w:rFonts w:hint="eastAsia"/>
                      <w:b w:val="0"/>
                      <w:bCs w:val="0"/>
                      <w:sz w:val="21"/>
                      <w:szCs w:val="21"/>
                    </w:rPr>
                    <w:t>6—9</w:t>
                  </w:r>
                </w:p>
              </w:tc>
              <w:tc>
                <w:tcPr>
                  <w:tcW w:w="2881" w:type="dxa"/>
                </w:tcPr>
                <w:p>
                  <w:pPr>
                    <w:pStyle w:val="66"/>
                    <w:rPr>
                      <w:b w:val="0"/>
                      <w:bCs w:val="0"/>
                      <w:sz w:val="21"/>
                      <w:szCs w:val="21"/>
                    </w:rPr>
                  </w:pPr>
                  <w:r>
                    <w:rPr>
                      <w:rFonts w:hint="eastAsia"/>
                      <w:b w:val="0"/>
                      <w:bCs w:val="0"/>
                      <w:sz w:val="21"/>
                      <w:szCs w:val="21"/>
                    </w:rPr>
                    <w:t>6.5—9.5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Pr>
                <w:p>
                  <w:pPr>
                    <w:pStyle w:val="66"/>
                    <w:rPr>
                      <w:b w:val="0"/>
                      <w:bCs w:val="0"/>
                      <w:sz w:val="21"/>
                      <w:szCs w:val="21"/>
                    </w:rPr>
                  </w:pPr>
                  <w:r>
                    <w:rPr>
                      <w:rFonts w:hint="eastAsia"/>
                      <w:b w:val="0"/>
                      <w:bCs w:val="0"/>
                      <w:sz w:val="21"/>
                      <w:szCs w:val="21"/>
                    </w:rPr>
                    <w:t>COD</w:t>
                  </w:r>
                </w:p>
              </w:tc>
              <w:tc>
                <w:tcPr>
                  <w:tcW w:w="2836" w:type="dxa"/>
                </w:tcPr>
                <w:p>
                  <w:pPr>
                    <w:pStyle w:val="66"/>
                    <w:rPr>
                      <w:b w:val="0"/>
                      <w:bCs w:val="0"/>
                      <w:sz w:val="21"/>
                      <w:szCs w:val="21"/>
                    </w:rPr>
                  </w:pPr>
                  <w:r>
                    <w:rPr>
                      <w:rFonts w:hint="eastAsia"/>
                      <w:b w:val="0"/>
                      <w:bCs w:val="0"/>
                      <w:sz w:val="21"/>
                      <w:szCs w:val="21"/>
                    </w:rPr>
                    <w:t>250</w:t>
                  </w:r>
                </w:p>
              </w:tc>
              <w:tc>
                <w:tcPr>
                  <w:tcW w:w="2881" w:type="dxa"/>
                </w:tcPr>
                <w:p>
                  <w:pPr>
                    <w:pStyle w:val="66"/>
                    <w:rPr>
                      <w:b w:val="0"/>
                      <w:bCs w:val="0"/>
                      <w:sz w:val="21"/>
                      <w:szCs w:val="21"/>
                    </w:rPr>
                  </w:pPr>
                  <w:r>
                    <w:rPr>
                      <w:rFonts w:hint="eastAsia"/>
                      <w:b w:val="0"/>
                      <w:bCs w:val="0"/>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Pr>
                <w:p>
                  <w:pPr>
                    <w:pStyle w:val="66"/>
                    <w:rPr>
                      <w:b w:val="0"/>
                      <w:bCs w:val="0"/>
                      <w:sz w:val="21"/>
                      <w:szCs w:val="21"/>
                    </w:rPr>
                  </w:pPr>
                  <w:r>
                    <w:rPr>
                      <w:rFonts w:hint="eastAsia"/>
                      <w:b w:val="0"/>
                      <w:bCs w:val="0"/>
                      <w:sz w:val="21"/>
                      <w:szCs w:val="21"/>
                    </w:rPr>
                    <w:t>BOD</w:t>
                  </w:r>
                </w:p>
              </w:tc>
              <w:tc>
                <w:tcPr>
                  <w:tcW w:w="2836" w:type="dxa"/>
                </w:tcPr>
                <w:p>
                  <w:pPr>
                    <w:pStyle w:val="66"/>
                    <w:rPr>
                      <w:b w:val="0"/>
                      <w:bCs w:val="0"/>
                      <w:sz w:val="21"/>
                      <w:szCs w:val="21"/>
                    </w:rPr>
                  </w:pPr>
                  <w:r>
                    <w:rPr>
                      <w:rFonts w:hint="eastAsia"/>
                      <w:b w:val="0"/>
                      <w:bCs w:val="0"/>
                      <w:sz w:val="21"/>
                      <w:szCs w:val="21"/>
                    </w:rPr>
                    <w:t>100</w:t>
                  </w:r>
                </w:p>
              </w:tc>
              <w:tc>
                <w:tcPr>
                  <w:tcW w:w="2881" w:type="dxa"/>
                </w:tcPr>
                <w:p>
                  <w:pPr>
                    <w:pStyle w:val="66"/>
                    <w:rPr>
                      <w:b w:val="0"/>
                      <w:bCs w:val="0"/>
                      <w:sz w:val="21"/>
                      <w:szCs w:val="21"/>
                    </w:rPr>
                  </w:pPr>
                  <w:r>
                    <w:rPr>
                      <w:rFonts w:hint="eastAsia"/>
                      <w:b w:val="0"/>
                      <w:bCs w:val="0"/>
                      <w:sz w:val="21"/>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Pr>
                <w:p>
                  <w:pPr>
                    <w:pStyle w:val="66"/>
                    <w:rPr>
                      <w:b w:val="0"/>
                      <w:bCs w:val="0"/>
                      <w:sz w:val="21"/>
                      <w:szCs w:val="21"/>
                    </w:rPr>
                  </w:pPr>
                  <w:r>
                    <w:rPr>
                      <w:rFonts w:hint="eastAsia"/>
                      <w:b w:val="0"/>
                      <w:bCs w:val="0"/>
                      <w:sz w:val="21"/>
                      <w:szCs w:val="21"/>
                    </w:rPr>
                    <w:t>SS</w:t>
                  </w:r>
                </w:p>
              </w:tc>
              <w:tc>
                <w:tcPr>
                  <w:tcW w:w="2836" w:type="dxa"/>
                </w:tcPr>
                <w:p>
                  <w:pPr>
                    <w:pStyle w:val="66"/>
                    <w:rPr>
                      <w:b w:val="0"/>
                      <w:bCs w:val="0"/>
                      <w:sz w:val="21"/>
                      <w:szCs w:val="21"/>
                    </w:rPr>
                  </w:pPr>
                  <w:r>
                    <w:rPr>
                      <w:rFonts w:hint="eastAsia"/>
                      <w:b w:val="0"/>
                      <w:bCs w:val="0"/>
                      <w:sz w:val="21"/>
                      <w:szCs w:val="21"/>
                    </w:rPr>
                    <w:t>60</w:t>
                  </w:r>
                </w:p>
              </w:tc>
              <w:tc>
                <w:tcPr>
                  <w:tcW w:w="2881" w:type="dxa"/>
                </w:tcPr>
                <w:p>
                  <w:pPr>
                    <w:pStyle w:val="66"/>
                    <w:rPr>
                      <w:b w:val="0"/>
                      <w:bCs w:val="0"/>
                      <w:sz w:val="21"/>
                      <w:szCs w:val="21"/>
                    </w:rPr>
                  </w:pPr>
                  <w:r>
                    <w:rPr>
                      <w:rFonts w:hint="eastAsia"/>
                      <w:b w:val="0"/>
                      <w:bCs w:val="0"/>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Pr>
                <w:p>
                  <w:pPr>
                    <w:pStyle w:val="66"/>
                    <w:rPr>
                      <w:b w:val="0"/>
                      <w:bCs w:val="0"/>
                      <w:sz w:val="21"/>
                      <w:szCs w:val="21"/>
                    </w:rPr>
                  </w:pPr>
                  <w:r>
                    <w:rPr>
                      <w:rFonts w:hint="eastAsia"/>
                      <w:b w:val="0"/>
                      <w:bCs w:val="0"/>
                      <w:sz w:val="21"/>
                      <w:szCs w:val="21"/>
                    </w:rPr>
                    <w:t>氨氮</w:t>
                  </w:r>
                </w:p>
              </w:tc>
              <w:tc>
                <w:tcPr>
                  <w:tcW w:w="2836" w:type="dxa"/>
                </w:tcPr>
                <w:p>
                  <w:pPr>
                    <w:pStyle w:val="66"/>
                    <w:rPr>
                      <w:b w:val="0"/>
                      <w:bCs w:val="0"/>
                      <w:sz w:val="21"/>
                      <w:szCs w:val="21"/>
                    </w:rPr>
                  </w:pPr>
                  <w:r>
                    <w:rPr>
                      <w:rFonts w:hint="eastAsia"/>
                      <w:b w:val="0"/>
                      <w:bCs w:val="0"/>
                      <w:sz w:val="21"/>
                      <w:szCs w:val="21"/>
                    </w:rPr>
                    <w:t>—</w:t>
                  </w:r>
                </w:p>
              </w:tc>
              <w:tc>
                <w:tcPr>
                  <w:tcW w:w="2881" w:type="dxa"/>
                </w:tcPr>
                <w:p>
                  <w:pPr>
                    <w:pStyle w:val="66"/>
                    <w:rPr>
                      <w:b w:val="0"/>
                      <w:bCs w:val="0"/>
                      <w:sz w:val="21"/>
                      <w:szCs w:val="21"/>
                    </w:rPr>
                  </w:pPr>
                  <w:r>
                    <w:rPr>
                      <w:rFonts w:hint="eastAsia"/>
                      <w:b w:val="0"/>
                      <w:bCs w:val="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Pr>
                <w:p>
                  <w:pPr>
                    <w:pStyle w:val="66"/>
                    <w:rPr>
                      <w:b w:val="0"/>
                      <w:bCs w:val="0"/>
                      <w:sz w:val="21"/>
                      <w:szCs w:val="21"/>
                    </w:rPr>
                  </w:pPr>
                  <w:r>
                    <w:rPr>
                      <w:rFonts w:hint="eastAsia"/>
                      <w:b w:val="0"/>
                      <w:bCs w:val="0"/>
                      <w:sz w:val="21"/>
                      <w:szCs w:val="21"/>
                    </w:rPr>
                    <w:t>动植物油</w:t>
                  </w:r>
                </w:p>
              </w:tc>
              <w:tc>
                <w:tcPr>
                  <w:tcW w:w="2836" w:type="dxa"/>
                </w:tcPr>
                <w:p>
                  <w:pPr>
                    <w:pStyle w:val="66"/>
                    <w:rPr>
                      <w:b w:val="0"/>
                      <w:bCs w:val="0"/>
                      <w:sz w:val="21"/>
                      <w:szCs w:val="21"/>
                    </w:rPr>
                  </w:pPr>
                  <w:r>
                    <w:rPr>
                      <w:rFonts w:hint="eastAsia"/>
                      <w:b w:val="0"/>
                      <w:bCs w:val="0"/>
                      <w:sz w:val="21"/>
                      <w:szCs w:val="21"/>
                    </w:rPr>
                    <w:t>20</w:t>
                  </w:r>
                </w:p>
              </w:tc>
              <w:tc>
                <w:tcPr>
                  <w:tcW w:w="2881" w:type="dxa"/>
                </w:tcPr>
                <w:p>
                  <w:pPr>
                    <w:pStyle w:val="66"/>
                    <w:rPr>
                      <w:b w:val="0"/>
                      <w:bCs w:val="0"/>
                      <w:sz w:val="21"/>
                      <w:szCs w:val="21"/>
                    </w:rPr>
                  </w:pPr>
                  <w:r>
                    <w:rPr>
                      <w:rFonts w:hint="eastAsia"/>
                      <w:b w:val="0"/>
                      <w:bCs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Pr>
                <w:p>
                  <w:pPr>
                    <w:pStyle w:val="66"/>
                    <w:rPr>
                      <w:b w:val="0"/>
                      <w:bCs w:val="0"/>
                      <w:sz w:val="21"/>
                      <w:szCs w:val="21"/>
                    </w:rPr>
                  </w:pPr>
                  <w:r>
                    <w:rPr>
                      <w:rFonts w:hint="eastAsia"/>
                      <w:b w:val="0"/>
                      <w:bCs w:val="0"/>
                      <w:sz w:val="21"/>
                      <w:szCs w:val="21"/>
                    </w:rPr>
                    <w:t>阴离子表面活性剂</w:t>
                  </w:r>
                </w:p>
              </w:tc>
              <w:tc>
                <w:tcPr>
                  <w:tcW w:w="2836" w:type="dxa"/>
                </w:tcPr>
                <w:p>
                  <w:pPr>
                    <w:pStyle w:val="66"/>
                    <w:rPr>
                      <w:b w:val="0"/>
                      <w:bCs w:val="0"/>
                      <w:sz w:val="21"/>
                      <w:szCs w:val="21"/>
                    </w:rPr>
                  </w:pPr>
                  <w:r>
                    <w:rPr>
                      <w:rFonts w:hint="eastAsia"/>
                      <w:b w:val="0"/>
                      <w:bCs w:val="0"/>
                      <w:sz w:val="21"/>
                      <w:szCs w:val="21"/>
                    </w:rPr>
                    <w:t>10</w:t>
                  </w:r>
                </w:p>
              </w:tc>
              <w:tc>
                <w:tcPr>
                  <w:tcW w:w="2881" w:type="dxa"/>
                </w:tcPr>
                <w:p>
                  <w:pPr>
                    <w:pStyle w:val="66"/>
                    <w:rPr>
                      <w:b w:val="0"/>
                      <w:bCs w:val="0"/>
                      <w:sz w:val="21"/>
                      <w:szCs w:val="21"/>
                    </w:rPr>
                  </w:pPr>
                  <w:r>
                    <w:rPr>
                      <w:rFonts w:hint="eastAsia"/>
                      <w:b w:val="0"/>
                      <w:bCs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Pr>
                <w:p>
                  <w:pPr>
                    <w:pStyle w:val="66"/>
                    <w:rPr>
                      <w:b w:val="0"/>
                      <w:bCs w:val="0"/>
                      <w:sz w:val="21"/>
                      <w:szCs w:val="21"/>
                    </w:rPr>
                  </w:pPr>
                  <w:r>
                    <w:rPr>
                      <w:rFonts w:hint="eastAsia"/>
                      <w:b w:val="0"/>
                      <w:bCs w:val="0"/>
                      <w:sz w:val="21"/>
                      <w:szCs w:val="21"/>
                    </w:rPr>
                    <w:t>色度/（稀释倍数）</w:t>
                  </w:r>
                </w:p>
              </w:tc>
              <w:tc>
                <w:tcPr>
                  <w:tcW w:w="2836" w:type="dxa"/>
                </w:tcPr>
                <w:p>
                  <w:pPr>
                    <w:pStyle w:val="66"/>
                    <w:rPr>
                      <w:b w:val="0"/>
                      <w:bCs w:val="0"/>
                      <w:sz w:val="21"/>
                      <w:szCs w:val="21"/>
                    </w:rPr>
                  </w:pPr>
                  <w:r>
                    <w:rPr>
                      <w:rFonts w:hint="eastAsia"/>
                      <w:b w:val="0"/>
                      <w:bCs w:val="0"/>
                      <w:sz w:val="21"/>
                      <w:szCs w:val="21"/>
                    </w:rPr>
                    <w:t>—</w:t>
                  </w:r>
                </w:p>
              </w:tc>
              <w:tc>
                <w:tcPr>
                  <w:tcW w:w="2881" w:type="dxa"/>
                </w:tcPr>
                <w:p>
                  <w:pPr>
                    <w:pStyle w:val="66"/>
                    <w:rPr>
                      <w:b w:val="0"/>
                      <w:bCs w:val="0"/>
                      <w:sz w:val="21"/>
                      <w:szCs w:val="21"/>
                    </w:rPr>
                  </w:pPr>
                  <w:r>
                    <w:rPr>
                      <w:rFonts w:hint="eastAsia"/>
                      <w:b w:val="0"/>
                      <w:bCs w:val="0"/>
                      <w:sz w:val="21"/>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Pr>
                <w:p>
                  <w:pPr>
                    <w:pStyle w:val="66"/>
                    <w:rPr>
                      <w:b w:val="0"/>
                      <w:bCs w:val="0"/>
                      <w:sz w:val="21"/>
                      <w:szCs w:val="21"/>
                    </w:rPr>
                  </w:pPr>
                  <w:r>
                    <w:rPr>
                      <w:rFonts w:hint="eastAsia"/>
                      <w:b w:val="0"/>
                      <w:bCs w:val="0"/>
                      <w:sz w:val="21"/>
                      <w:szCs w:val="21"/>
                    </w:rPr>
                    <w:t>挥发酚</w:t>
                  </w:r>
                </w:p>
              </w:tc>
              <w:tc>
                <w:tcPr>
                  <w:tcW w:w="2836" w:type="dxa"/>
                </w:tcPr>
                <w:p>
                  <w:pPr>
                    <w:pStyle w:val="66"/>
                    <w:rPr>
                      <w:b w:val="0"/>
                      <w:bCs w:val="0"/>
                      <w:sz w:val="21"/>
                      <w:szCs w:val="21"/>
                    </w:rPr>
                  </w:pPr>
                  <w:r>
                    <w:rPr>
                      <w:rFonts w:hint="eastAsia"/>
                      <w:b w:val="0"/>
                      <w:bCs w:val="0"/>
                      <w:sz w:val="21"/>
                      <w:szCs w:val="21"/>
                    </w:rPr>
                    <w:t>1.0</w:t>
                  </w:r>
                </w:p>
              </w:tc>
              <w:tc>
                <w:tcPr>
                  <w:tcW w:w="2881" w:type="dxa"/>
                </w:tcPr>
                <w:p>
                  <w:pPr>
                    <w:pStyle w:val="66"/>
                    <w:rPr>
                      <w:b w:val="0"/>
                      <w:bCs w:val="0"/>
                      <w:sz w:val="21"/>
                      <w:szCs w:val="21"/>
                    </w:rPr>
                  </w:pPr>
                  <w:r>
                    <w:rPr>
                      <w:rFonts w:hint="eastAsia"/>
                      <w:b w:val="0"/>
                      <w:bCs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Pr>
                <w:p>
                  <w:pPr>
                    <w:pStyle w:val="66"/>
                    <w:rPr>
                      <w:b w:val="0"/>
                      <w:bCs w:val="0"/>
                      <w:sz w:val="21"/>
                      <w:szCs w:val="21"/>
                    </w:rPr>
                  </w:pPr>
                  <w:r>
                    <w:rPr>
                      <w:rFonts w:hint="eastAsia"/>
                      <w:b w:val="0"/>
                      <w:bCs w:val="0"/>
                      <w:sz w:val="21"/>
                      <w:szCs w:val="21"/>
                    </w:rPr>
                    <w:t>总氰化物</w:t>
                  </w:r>
                </w:p>
              </w:tc>
              <w:tc>
                <w:tcPr>
                  <w:tcW w:w="2836" w:type="dxa"/>
                </w:tcPr>
                <w:p>
                  <w:pPr>
                    <w:pStyle w:val="66"/>
                    <w:rPr>
                      <w:b w:val="0"/>
                      <w:bCs w:val="0"/>
                      <w:sz w:val="21"/>
                      <w:szCs w:val="21"/>
                    </w:rPr>
                  </w:pPr>
                  <w:r>
                    <w:rPr>
                      <w:rFonts w:hint="eastAsia"/>
                      <w:b w:val="0"/>
                      <w:bCs w:val="0"/>
                      <w:sz w:val="21"/>
                      <w:szCs w:val="21"/>
                    </w:rPr>
                    <w:t>0.5</w:t>
                  </w:r>
                </w:p>
              </w:tc>
              <w:tc>
                <w:tcPr>
                  <w:tcW w:w="2881" w:type="dxa"/>
                </w:tcPr>
                <w:p>
                  <w:pPr>
                    <w:pStyle w:val="66"/>
                    <w:rPr>
                      <w:b w:val="0"/>
                      <w:bCs w:val="0"/>
                      <w:sz w:val="21"/>
                      <w:szCs w:val="21"/>
                    </w:rPr>
                  </w:pPr>
                  <w:r>
                    <w:rPr>
                      <w:rFonts w:hint="eastAsia"/>
                      <w:b w:val="0"/>
                      <w:bCs w:val="0"/>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Pr>
                <w:p>
                  <w:pPr>
                    <w:pStyle w:val="66"/>
                    <w:rPr>
                      <w:b w:val="0"/>
                      <w:bCs w:val="0"/>
                      <w:sz w:val="21"/>
                      <w:szCs w:val="21"/>
                    </w:rPr>
                  </w:pPr>
                  <w:r>
                    <w:rPr>
                      <w:rFonts w:hint="eastAsia"/>
                      <w:b w:val="0"/>
                      <w:bCs w:val="0"/>
                      <w:sz w:val="21"/>
                      <w:szCs w:val="21"/>
                    </w:rPr>
                    <w:t>总汞</w:t>
                  </w:r>
                </w:p>
              </w:tc>
              <w:tc>
                <w:tcPr>
                  <w:tcW w:w="2836" w:type="dxa"/>
                </w:tcPr>
                <w:p>
                  <w:pPr>
                    <w:pStyle w:val="66"/>
                    <w:rPr>
                      <w:b w:val="0"/>
                      <w:bCs w:val="0"/>
                      <w:sz w:val="21"/>
                      <w:szCs w:val="21"/>
                    </w:rPr>
                  </w:pPr>
                  <w:r>
                    <w:rPr>
                      <w:rFonts w:hint="eastAsia"/>
                      <w:b w:val="0"/>
                      <w:bCs w:val="0"/>
                      <w:sz w:val="21"/>
                      <w:szCs w:val="21"/>
                    </w:rPr>
                    <w:t>0.05</w:t>
                  </w:r>
                </w:p>
              </w:tc>
              <w:tc>
                <w:tcPr>
                  <w:tcW w:w="2881" w:type="dxa"/>
                </w:tcPr>
                <w:p>
                  <w:pPr>
                    <w:pStyle w:val="66"/>
                    <w:rPr>
                      <w:b w:val="0"/>
                      <w:bCs w:val="0"/>
                      <w:sz w:val="21"/>
                      <w:szCs w:val="21"/>
                    </w:rPr>
                  </w:pPr>
                  <w:r>
                    <w:rPr>
                      <w:rFonts w:hint="eastAsia"/>
                      <w:b w:val="0"/>
                      <w:bCs w:val="0"/>
                      <w:sz w:val="21"/>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Pr>
                <w:p>
                  <w:pPr>
                    <w:pStyle w:val="66"/>
                    <w:rPr>
                      <w:b w:val="0"/>
                      <w:bCs w:val="0"/>
                      <w:sz w:val="21"/>
                      <w:szCs w:val="21"/>
                    </w:rPr>
                  </w:pPr>
                  <w:r>
                    <w:rPr>
                      <w:rFonts w:hint="eastAsia"/>
                      <w:b w:val="0"/>
                      <w:bCs w:val="0"/>
                      <w:sz w:val="21"/>
                      <w:szCs w:val="21"/>
                    </w:rPr>
                    <w:t>总镉</w:t>
                  </w:r>
                </w:p>
              </w:tc>
              <w:tc>
                <w:tcPr>
                  <w:tcW w:w="2836" w:type="dxa"/>
                </w:tcPr>
                <w:p>
                  <w:pPr>
                    <w:pStyle w:val="66"/>
                    <w:rPr>
                      <w:b w:val="0"/>
                      <w:bCs w:val="0"/>
                      <w:sz w:val="21"/>
                      <w:szCs w:val="21"/>
                    </w:rPr>
                  </w:pPr>
                  <w:r>
                    <w:rPr>
                      <w:rFonts w:hint="eastAsia"/>
                      <w:b w:val="0"/>
                      <w:bCs w:val="0"/>
                      <w:sz w:val="21"/>
                      <w:szCs w:val="21"/>
                    </w:rPr>
                    <w:t>0.1</w:t>
                  </w:r>
                </w:p>
              </w:tc>
              <w:tc>
                <w:tcPr>
                  <w:tcW w:w="2881" w:type="dxa"/>
                </w:tcPr>
                <w:p>
                  <w:pPr>
                    <w:pStyle w:val="66"/>
                    <w:rPr>
                      <w:b w:val="0"/>
                      <w:bCs w:val="0"/>
                      <w:sz w:val="21"/>
                      <w:szCs w:val="21"/>
                    </w:rPr>
                  </w:pPr>
                  <w:r>
                    <w:rPr>
                      <w:rFonts w:hint="eastAsia"/>
                      <w:b w:val="0"/>
                      <w:bCs w:val="0"/>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Pr>
                <w:p>
                  <w:pPr>
                    <w:pStyle w:val="66"/>
                    <w:rPr>
                      <w:b w:val="0"/>
                      <w:bCs w:val="0"/>
                      <w:sz w:val="21"/>
                      <w:szCs w:val="21"/>
                    </w:rPr>
                  </w:pPr>
                  <w:r>
                    <w:rPr>
                      <w:rFonts w:hint="eastAsia"/>
                      <w:b w:val="0"/>
                      <w:bCs w:val="0"/>
                      <w:sz w:val="21"/>
                      <w:szCs w:val="21"/>
                    </w:rPr>
                    <w:t>总铬</w:t>
                  </w:r>
                </w:p>
              </w:tc>
              <w:tc>
                <w:tcPr>
                  <w:tcW w:w="2836" w:type="dxa"/>
                </w:tcPr>
                <w:p>
                  <w:pPr>
                    <w:pStyle w:val="66"/>
                    <w:rPr>
                      <w:b w:val="0"/>
                      <w:bCs w:val="0"/>
                      <w:sz w:val="21"/>
                      <w:szCs w:val="21"/>
                    </w:rPr>
                  </w:pPr>
                  <w:r>
                    <w:rPr>
                      <w:rFonts w:hint="eastAsia"/>
                      <w:b w:val="0"/>
                      <w:bCs w:val="0"/>
                      <w:sz w:val="21"/>
                      <w:szCs w:val="21"/>
                    </w:rPr>
                    <w:t>1.5</w:t>
                  </w:r>
                </w:p>
              </w:tc>
              <w:tc>
                <w:tcPr>
                  <w:tcW w:w="2881" w:type="dxa"/>
                </w:tcPr>
                <w:p>
                  <w:pPr>
                    <w:pStyle w:val="66"/>
                    <w:rPr>
                      <w:b w:val="0"/>
                      <w:bCs w:val="0"/>
                      <w:sz w:val="21"/>
                      <w:szCs w:val="21"/>
                    </w:rPr>
                  </w:pPr>
                  <w:r>
                    <w:rPr>
                      <w:rFonts w:hint="eastAsia"/>
                      <w:b w:val="0"/>
                      <w:bCs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Pr>
                <w:p>
                  <w:pPr>
                    <w:pStyle w:val="66"/>
                    <w:rPr>
                      <w:b w:val="0"/>
                      <w:bCs w:val="0"/>
                      <w:sz w:val="21"/>
                      <w:szCs w:val="21"/>
                    </w:rPr>
                  </w:pPr>
                  <w:r>
                    <w:rPr>
                      <w:rFonts w:hint="eastAsia"/>
                      <w:b w:val="0"/>
                      <w:bCs w:val="0"/>
                      <w:sz w:val="21"/>
                      <w:szCs w:val="21"/>
                    </w:rPr>
                    <w:t>六价铬</w:t>
                  </w:r>
                </w:p>
              </w:tc>
              <w:tc>
                <w:tcPr>
                  <w:tcW w:w="2836" w:type="dxa"/>
                </w:tcPr>
                <w:p>
                  <w:pPr>
                    <w:pStyle w:val="66"/>
                    <w:rPr>
                      <w:b w:val="0"/>
                      <w:bCs w:val="0"/>
                      <w:sz w:val="21"/>
                      <w:szCs w:val="21"/>
                    </w:rPr>
                  </w:pPr>
                  <w:r>
                    <w:rPr>
                      <w:rFonts w:hint="eastAsia"/>
                      <w:b w:val="0"/>
                      <w:bCs w:val="0"/>
                      <w:sz w:val="21"/>
                      <w:szCs w:val="21"/>
                    </w:rPr>
                    <w:t>0.5</w:t>
                  </w:r>
                </w:p>
              </w:tc>
              <w:tc>
                <w:tcPr>
                  <w:tcW w:w="2881" w:type="dxa"/>
                </w:tcPr>
                <w:p>
                  <w:pPr>
                    <w:pStyle w:val="66"/>
                    <w:rPr>
                      <w:b w:val="0"/>
                      <w:bCs w:val="0"/>
                      <w:sz w:val="21"/>
                      <w:szCs w:val="21"/>
                    </w:rPr>
                  </w:pPr>
                  <w:r>
                    <w:rPr>
                      <w:rFonts w:hint="eastAsia"/>
                      <w:b w:val="0"/>
                      <w:bCs w:val="0"/>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Pr>
                <w:p>
                  <w:pPr>
                    <w:pStyle w:val="66"/>
                    <w:rPr>
                      <w:b w:val="0"/>
                      <w:bCs w:val="0"/>
                      <w:sz w:val="21"/>
                      <w:szCs w:val="21"/>
                    </w:rPr>
                  </w:pPr>
                  <w:r>
                    <w:rPr>
                      <w:rFonts w:hint="eastAsia"/>
                      <w:b w:val="0"/>
                      <w:bCs w:val="0"/>
                      <w:sz w:val="21"/>
                      <w:szCs w:val="21"/>
                    </w:rPr>
                    <w:t>总砷</w:t>
                  </w:r>
                </w:p>
              </w:tc>
              <w:tc>
                <w:tcPr>
                  <w:tcW w:w="2836" w:type="dxa"/>
                </w:tcPr>
                <w:p>
                  <w:pPr>
                    <w:pStyle w:val="66"/>
                    <w:rPr>
                      <w:b w:val="0"/>
                      <w:bCs w:val="0"/>
                      <w:sz w:val="21"/>
                      <w:szCs w:val="21"/>
                    </w:rPr>
                  </w:pPr>
                  <w:r>
                    <w:rPr>
                      <w:rFonts w:hint="eastAsia"/>
                      <w:b w:val="0"/>
                      <w:bCs w:val="0"/>
                      <w:sz w:val="21"/>
                      <w:szCs w:val="21"/>
                    </w:rPr>
                    <w:t>0.5</w:t>
                  </w:r>
                </w:p>
              </w:tc>
              <w:tc>
                <w:tcPr>
                  <w:tcW w:w="2881" w:type="dxa"/>
                </w:tcPr>
                <w:p>
                  <w:pPr>
                    <w:pStyle w:val="66"/>
                    <w:rPr>
                      <w:b w:val="0"/>
                      <w:bCs w:val="0"/>
                      <w:sz w:val="21"/>
                      <w:szCs w:val="21"/>
                    </w:rPr>
                  </w:pPr>
                  <w:r>
                    <w:rPr>
                      <w:rFonts w:hint="eastAsia"/>
                      <w:b w:val="0"/>
                      <w:bCs w:val="0"/>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Pr>
                <w:p>
                  <w:pPr>
                    <w:pStyle w:val="66"/>
                    <w:rPr>
                      <w:b w:val="0"/>
                      <w:bCs w:val="0"/>
                      <w:sz w:val="21"/>
                      <w:szCs w:val="21"/>
                    </w:rPr>
                  </w:pPr>
                  <w:r>
                    <w:rPr>
                      <w:rFonts w:hint="eastAsia"/>
                      <w:b w:val="0"/>
                      <w:bCs w:val="0"/>
                      <w:sz w:val="21"/>
                      <w:szCs w:val="21"/>
                    </w:rPr>
                    <w:t>总铅</w:t>
                  </w:r>
                </w:p>
              </w:tc>
              <w:tc>
                <w:tcPr>
                  <w:tcW w:w="2836" w:type="dxa"/>
                </w:tcPr>
                <w:p>
                  <w:pPr>
                    <w:pStyle w:val="66"/>
                    <w:rPr>
                      <w:b w:val="0"/>
                      <w:bCs w:val="0"/>
                      <w:sz w:val="21"/>
                      <w:szCs w:val="21"/>
                    </w:rPr>
                  </w:pPr>
                  <w:r>
                    <w:rPr>
                      <w:rFonts w:hint="eastAsia"/>
                      <w:b w:val="0"/>
                      <w:bCs w:val="0"/>
                      <w:sz w:val="21"/>
                      <w:szCs w:val="21"/>
                    </w:rPr>
                    <w:t>1.0</w:t>
                  </w:r>
                </w:p>
              </w:tc>
              <w:tc>
                <w:tcPr>
                  <w:tcW w:w="2881" w:type="dxa"/>
                </w:tcPr>
                <w:p>
                  <w:pPr>
                    <w:pStyle w:val="66"/>
                    <w:rPr>
                      <w:b w:val="0"/>
                      <w:bCs w:val="0"/>
                      <w:sz w:val="21"/>
                      <w:szCs w:val="21"/>
                    </w:rPr>
                  </w:pPr>
                  <w:r>
                    <w:rPr>
                      <w:rFonts w:hint="eastAsia"/>
                      <w:b w:val="0"/>
                      <w:bCs w:val="0"/>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Pr>
                <w:p>
                  <w:pPr>
                    <w:pStyle w:val="66"/>
                    <w:rPr>
                      <w:b w:val="0"/>
                      <w:bCs w:val="0"/>
                      <w:sz w:val="21"/>
                      <w:szCs w:val="21"/>
                    </w:rPr>
                  </w:pPr>
                  <w:r>
                    <w:rPr>
                      <w:rFonts w:hint="eastAsia"/>
                      <w:b w:val="0"/>
                      <w:bCs w:val="0"/>
                      <w:sz w:val="21"/>
                      <w:szCs w:val="21"/>
                    </w:rPr>
                    <w:t>总银</w:t>
                  </w:r>
                </w:p>
              </w:tc>
              <w:tc>
                <w:tcPr>
                  <w:tcW w:w="2836" w:type="dxa"/>
                </w:tcPr>
                <w:p>
                  <w:pPr>
                    <w:pStyle w:val="66"/>
                    <w:rPr>
                      <w:b w:val="0"/>
                      <w:bCs w:val="0"/>
                      <w:sz w:val="21"/>
                      <w:szCs w:val="21"/>
                    </w:rPr>
                  </w:pPr>
                  <w:r>
                    <w:rPr>
                      <w:rFonts w:hint="eastAsia"/>
                      <w:b w:val="0"/>
                      <w:bCs w:val="0"/>
                      <w:sz w:val="21"/>
                      <w:szCs w:val="21"/>
                    </w:rPr>
                    <w:t>0.5</w:t>
                  </w:r>
                </w:p>
              </w:tc>
              <w:tc>
                <w:tcPr>
                  <w:tcW w:w="2881" w:type="dxa"/>
                </w:tcPr>
                <w:p>
                  <w:pPr>
                    <w:pStyle w:val="66"/>
                    <w:rPr>
                      <w:b w:val="0"/>
                      <w:bCs w:val="0"/>
                      <w:sz w:val="21"/>
                      <w:szCs w:val="21"/>
                    </w:rPr>
                  </w:pPr>
                  <w:r>
                    <w:rPr>
                      <w:rFonts w:hint="eastAsia"/>
                      <w:b w:val="0"/>
                      <w:bCs w:val="0"/>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Pr>
                <w:p>
                  <w:pPr>
                    <w:widowControl/>
                    <w:ind w:firstLine="420"/>
                    <w:jc w:val="left"/>
                    <w:rPr>
                      <w:sz w:val="21"/>
                      <w:szCs w:val="21"/>
                    </w:rPr>
                  </w:pPr>
                  <w:r>
                    <w:rPr>
                      <w:rFonts w:hint="eastAsia" w:ascii="宋体" w:hAnsi="宋体" w:eastAsia="宋体" w:cs="宋体"/>
                      <w:kern w:val="0"/>
                      <w:sz w:val="21"/>
                      <w:szCs w:val="21"/>
                      <w:lang w:bidi="ar"/>
                    </w:rPr>
                    <w:t>总α（</w:t>
                  </w:r>
                  <w:r>
                    <w:rPr>
                      <w:rFonts w:eastAsia="宋体" w:cs="Times New Roman"/>
                      <w:kern w:val="0"/>
                      <w:sz w:val="21"/>
                      <w:szCs w:val="21"/>
                      <w:lang w:bidi="ar"/>
                    </w:rPr>
                    <w:t>Bq/L</w:t>
                  </w:r>
                  <w:r>
                    <w:rPr>
                      <w:rFonts w:hint="eastAsia" w:ascii="宋体" w:hAnsi="宋体" w:eastAsia="宋体" w:cs="宋体"/>
                      <w:kern w:val="0"/>
                      <w:sz w:val="21"/>
                      <w:szCs w:val="21"/>
                      <w:lang w:bidi="ar"/>
                    </w:rPr>
                    <w:t>）</w:t>
                  </w:r>
                </w:p>
              </w:tc>
              <w:tc>
                <w:tcPr>
                  <w:tcW w:w="2836" w:type="dxa"/>
                </w:tcPr>
                <w:p>
                  <w:pPr>
                    <w:pStyle w:val="66"/>
                    <w:rPr>
                      <w:b w:val="0"/>
                      <w:bCs w:val="0"/>
                      <w:sz w:val="21"/>
                      <w:szCs w:val="21"/>
                    </w:rPr>
                  </w:pPr>
                  <w:r>
                    <w:rPr>
                      <w:rFonts w:hint="eastAsia"/>
                      <w:b w:val="0"/>
                      <w:bCs w:val="0"/>
                      <w:sz w:val="21"/>
                      <w:szCs w:val="21"/>
                    </w:rPr>
                    <w:t>1</w:t>
                  </w:r>
                </w:p>
              </w:tc>
              <w:tc>
                <w:tcPr>
                  <w:tcW w:w="2881" w:type="dxa"/>
                </w:tcPr>
                <w:p>
                  <w:pPr>
                    <w:pStyle w:val="66"/>
                    <w:rPr>
                      <w:b w:val="0"/>
                      <w:bCs w:val="0"/>
                      <w:sz w:val="21"/>
                      <w:szCs w:val="21"/>
                    </w:rPr>
                  </w:pPr>
                  <w:r>
                    <w:rPr>
                      <w:rFonts w:hint="eastAsia"/>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Pr>
                <w:p>
                  <w:pPr>
                    <w:widowControl/>
                    <w:ind w:firstLine="420"/>
                    <w:jc w:val="left"/>
                    <w:rPr>
                      <w:rFonts w:ascii="宋体" w:hAnsi="宋体" w:eastAsia="宋体" w:cs="宋体"/>
                      <w:kern w:val="0"/>
                      <w:sz w:val="21"/>
                      <w:szCs w:val="21"/>
                      <w:lang w:bidi="ar"/>
                    </w:rPr>
                  </w:pPr>
                  <w:r>
                    <w:rPr>
                      <w:rFonts w:hint="eastAsia" w:ascii="宋体" w:hAnsi="宋体" w:eastAsia="宋体" w:cs="宋体"/>
                      <w:kern w:val="0"/>
                      <w:sz w:val="21"/>
                      <w:szCs w:val="21"/>
                      <w:lang w:bidi="ar"/>
                    </w:rPr>
                    <w:t>总β（</w:t>
                  </w:r>
                  <w:r>
                    <w:rPr>
                      <w:rFonts w:eastAsia="宋体" w:cs="Times New Roman"/>
                      <w:kern w:val="0"/>
                      <w:sz w:val="21"/>
                      <w:szCs w:val="21"/>
                      <w:lang w:bidi="ar"/>
                    </w:rPr>
                    <w:t>Bq/L</w:t>
                  </w:r>
                  <w:r>
                    <w:rPr>
                      <w:rFonts w:hint="eastAsia" w:ascii="宋体" w:hAnsi="宋体" w:eastAsia="宋体" w:cs="宋体"/>
                      <w:kern w:val="0"/>
                      <w:sz w:val="21"/>
                      <w:szCs w:val="21"/>
                      <w:lang w:bidi="ar"/>
                    </w:rPr>
                    <w:t>）</w:t>
                  </w:r>
                </w:p>
              </w:tc>
              <w:tc>
                <w:tcPr>
                  <w:tcW w:w="2836" w:type="dxa"/>
                </w:tcPr>
                <w:p>
                  <w:pPr>
                    <w:pStyle w:val="66"/>
                    <w:rPr>
                      <w:b w:val="0"/>
                      <w:bCs w:val="0"/>
                      <w:sz w:val="21"/>
                      <w:szCs w:val="21"/>
                    </w:rPr>
                  </w:pPr>
                  <w:r>
                    <w:rPr>
                      <w:rFonts w:hint="eastAsia"/>
                      <w:b w:val="0"/>
                      <w:bCs w:val="0"/>
                      <w:sz w:val="21"/>
                      <w:szCs w:val="21"/>
                    </w:rPr>
                    <w:t>10</w:t>
                  </w:r>
                </w:p>
              </w:tc>
              <w:tc>
                <w:tcPr>
                  <w:tcW w:w="2881" w:type="dxa"/>
                </w:tcPr>
                <w:p>
                  <w:pPr>
                    <w:pStyle w:val="66"/>
                    <w:rPr>
                      <w:b w:val="0"/>
                      <w:bCs w:val="0"/>
                      <w:sz w:val="21"/>
                      <w:szCs w:val="21"/>
                    </w:rPr>
                  </w:pPr>
                  <w:r>
                    <w:rPr>
                      <w:rFonts w:hint="eastAsia"/>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0" w:type="dxa"/>
                </w:tcPr>
                <w:p>
                  <w:pPr>
                    <w:widowControl/>
                    <w:ind w:firstLine="420"/>
                    <w:jc w:val="left"/>
                    <w:rPr>
                      <w:rFonts w:ascii="宋体" w:hAnsi="宋体" w:eastAsia="宋体" w:cs="宋体"/>
                      <w:kern w:val="0"/>
                      <w:sz w:val="21"/>
                      <w:szCs w:val="21"/>
                      <w:lang w:bidi="ar"/>
                    </w:rPr>
                  </w:pPr>
                  <w:r>
                    <w:rPr>
                      <w:rFonts w:hint="eastAsia" w:ascii="宋体" w:hAnsi="宋体" w:eastAsia="宋体" w:cs="宋体"/>
                      <w:kern w:val="0"/>
                      <w:sz w:val="21"/>
                      <w:szCs w:val="21"/>
                      <w:lang w:bidi="ar"/>
                    </w:rPr>
                    <w:t>总余氯</w:t>
                  </w:r>
                  <w:r>
                    <w:rPr>
                      <w:rFonts w:hint="eastAsia" w:ascii="宋体" w:hAnsi="宋体" w:eastAsia="宋体" w:cs="宋体"/>
                      <w:kern w:val="0"/>
                      <w:sz w:val="21"/>
                      <w:szCs w:val="21"/>
                      <w:vertAlign w:val="superscript"/>
                      <w:lang w:bidi="ar"/>
                    </w:rPr>
                    <w:t xml:space="preserve"> </w:t>
                  </w:r>
                  <w:r>
                    <w:rPr>
                      <w:rFonts w:eastAsia="宋体" w:cs="Times New Roman"/>
                      <w:kern w:val="0"/>
                      <w:sz w:val="21"/>
                      <w:szCs w:val="21"/>
                      <w:vertAlign w:val="superscript"/>
                      <w:lang w:bidi="ar"/>
                    </w:rPr>
                    <w:t>1</w:t>
                  </w:r>
                  <w:r>
                    <w:rPr>
                      <w:rFonts w:hint="eastAsia" w:ascii="宋体" w:hAnsi="宋体" w:eastAsia="宋体" w:cs="宋体"/>
                      <w:kern w:val="0"/>
                      <w:sz w:val="21"/>
                      <w:szCs w:val="21"/>
                      <w:vertAlign w:val="superscript"/>
                      <w:lang w:bidi="ar"/>
                    </w:rPr>
                    <w:t>），</w:t>
                  </w:r>
                  <w:r>
                    <w:rPr>
                      <w:rFonts w:eastAsia="宋体" w:cs="Times New Roman"/>
                      <w:kern w:val="0"/>
                      <w:sz w:val="21"/>
                      <w:szCs w:val="21"/>
                      <w:vertAlign w:val="superscript"/>
                      <w:lang w:bidi="ar"/>
                    </w:rPr>
                    <w:t>2</w:t>
                  </w:r>
                  <w:r>
                    <w:rPr>
                      <w:rFonts w:hint="eastAsia" w:ascii="宋体" w:hAnsi="宋体" w:eastAsia="宋体" w:cs="宋体"/>
                      <w:kern w:val="0"/>
                      <w:sz w:val="21"/>
                      <w:szCs w:val="21"/>
                      <w:vertAlign w:val="superscript"/>
                      <w:lang w:bidi="ar"/>
                    </w:rPr>
                    <w:t xml:space="preserve">） </w:t>
                  </w:r>
                </w:p>
              </w:tc>
              <w:tc>
                <w:tcPr>
                  <w:tcW w:w="2836" w:type="dxa"/>
                </w:tcPr>
                <w:p>
                  <w:pPr>
                    <w:pStyle w:val="66"/>
                    <w:rPr>
                      <w:b w:val="0"/>
                      <w:bCs w:val="0"/>
                      <w:sz w:val="21"/>
                      <w:szCs w:val="21"/>
                    </w:rPr>
                  </w:pPr>
                  <w:r>
                    <w:rPr>
                      <w:rFonts w:hint="eastAsia"/>
                      <w:b w:val="0"/>
                      <w:bCs w:val="0"/>
                      <w:sz w:val="21"/>
                      <w:szCs w:val="21"/>
                    </w:rPr>
                    <w:t>—</w:t>
                  </w:r>
                </w:p>
              </w:tc>
              <w:tc>
                <w:tcPr>
                  <w:tcW w:w="2881" w:type="dxa"/>
                </w:tcPr>
                <w:p>
                  <w:pPr>
                    <w:pStyle w:val="66"/>
                    <w:rPr>
                      <w:b w:val="0"/>
                      <w:bCs w:val="0"/>
                      <w:sz w:val="21"/>
                      <w:szCs w:val="21"/>
                    </w:rPr>
                  </w:pPr>
                  <w:r>
                    <w:rPr>
                      <w:rFonts w:hint="eastAsia"/>
                      <w:b w:val="0"/>
                      <w:bCs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7" w:type="dxa"/>
                  <w:gridSpan w:val="3"/>
                </w:tcPr>
                <w:p>
                  <w:pPr>
                    <w:widowControl/>
                    <w:spacing w:line="0" w:lineRule="atLeast"/>
                    <w:ind w:firstLine="0" w:firstLineChars="0"/>
                    <w:jc w:val="left"/>
                    <w:rPr>
                      <w:sz w:val="21"/>
                      <w:szCs w:val="21"/>
                    </w:rPr>
                  </w:pPr>
                  <w:r>
                    <w:rPr>
                      <w:rFonts w:hint="eastAsia" w:ascii="宋体" w:hAnsi="宋体" w:eastAsia="宋体" w:cs="宋体"/>
                      <w:kern w:val="0"/>
                      <w:sz w:val="21"/>
                      <w:szCs w:val="21"/>
                      <w:lang w:bidi="ar"/>
                    </w:rPr>
                    <w:t>注</w:t>
                  </w:r>
                  <w:r>
                    <w:rPr>
                      <w:rFonts w:eastAsia="宋体" w:cs="Times New Roman"/>
                      <w:kern w:val="0"/>
                      <w:sz w:val="21"/>
                      <w:szCs w:val="21"/>
                      <w:lang w:bidi="ar"/>
                    </w:rPr>
                    <w:t>: 1)</w:t>
                  </w:r>
                  <w:r>
                    <w:rPr>
                      <w:rFonts w:hint="eastAsia" w:ascii="宋体" w:hAnsi="宋体" w:eastAsia="宋体" w:cs="宋体"/>
                      <w:kern w:val="0"/>
                      <w:sz w:val="21"/>
                      <w:szCs w:val="21"/>
                      <w:lang w:bidi="ar"/>
                    </w:rPr>
                    <w:t>采用含氯消毒剂消毒的工艺控制要求为</w:t>
                  </w:r>
                  <w:r>
                    <w:rPr>
                      <w:rFonts w:eastAsia="宋体" w:cs="Times New Roman"/>
                      <w:kern w:val="0"/>
                      <w:sz w:val="21"/>
                      <w:szCs w:val="21"/>
                      <w:lang w:bidi="ar"/>
                    </w:rPr>
                    <w:t xml:space="preserve">: </w:t>
                  </w:r>
                </w:p>
                <w:p>
                  <w:pPr>
                    <w:widowControl/>
                    <w:spacing w:line="0" w:lineRule="atLeast"/>
                    <w:ind w:firstLine="420"/>
                    <w:jc w:val="left"/>
                    <w:rPr>
                      <w:sz w:val="21"/>
                      <w:szCs w:val="21"/>
                    </w:rPr>
                  </w:pPr>
                  <w:r>
                    <w:rPr>
                      <w:rFonts w:hint="eastAsia" w:ascii="宋体" w:hAnsi="宋体" w:eastAsia="宋体" w:cs="宋体"/>
                      <w:kern w:val="0"/>
                      <w:sz w:val="21"/>
                      <w:szCs w:val="21"/>
                      <w:lang w:bidi="ar"/>
                    </w:rPr>
                    <w:t>排放标准</w:t>
                  </w:r>
                  <w:r>
                    <w:rPr>
                      <w:rFonts w:eastAsia="宋体" w:cs="Times New Roman"/>
                      <w:kern w:val="0"/>
                      <w:sz w:val="21"/>
                      <w:szCs w:val="21"/>
                      <w:lang w:bidi="ar"/>
                    </w:rPr>
                    <w:t>:</w:t>
                  </w:r>
                  <w:r>
                    <w:rPr>
                      <w:rFonts w:hint="eastAsia" w:ascii="宋体" w:hAnsi="宋体" w:eastAsia="宋体" w:cs="宋体"/>
                      <w:kern w:val="0"/>
                      <w:sz w:val="21"/>
                      <w:szCs w:val="21"/>
                      <w:lang w:bidi="ar"/>
                    </w:rPr>
                    <w:t>消毒接触池接触时间</w:t>
                  </w:r>
                  <w:r>
                    <w:rPr>
                      <w:rFonts w:eastAsia="宋体" w:cs="Times New Roman"/>
                      <w:kern w:val="0"/>
                      <w:sz w:val="21"/>
                      <w:szCs w:val="21"/>
                      <w:lang w:bidi="ar"/>
                    </w:rPr>
                    <w:t>≥1 h,</w:t>
                  </w:r>
                  <w:r>
                    <w:rPr>
                      <w:rFonts w:hint="eastAsia" w:ascii="宋体" w:hAnsi="宋体" w:eastAsia="宋体" w:cs="宋体"/>
                      <w:kern w:val="0"/>
                      <w:sz w:val="21"/>
                      <w:szCs w:val="21"/>
                      <w:lang w:bidi="ar"/>
                    </w:rPr>
                    <w:t xml:space="preserve">接触池出口总余氯 </w:t>
                  </w:r>
                  <w:r>
                    <w:rPr>
                      <w:rFonts w:eastAsia="宋体" w:cs="Times New Roman"/>
                      <w:kern w:val="0"/>
                      <w:sz w:val="21"/>
                      <w:szCs w:val="21"/>
                      <w:lang w:bidi="ar"/>
                    </w:rPr>
                    <w:t>3~ 10 mg/L</w:t>
                  </w:r>
                  <w:r>
                    <w:rPr>
                      <w:rFonts w:hint="eastAsia" w:ascii="宋体" w:hAnsi="宋体" w:eastAsia="宋体" w:cs="宋体"/>
                      <w:kern w:val="0"/>
                      <w:sz w:val="21"/>
                      <w:szCs w:val="21"/>
                      <w:lang w:bidi="ar"/>
                    </w:rPr>
                    <w:t xml:space="preserve">。 </w:t>
                  </w:r>
                </w:p>
                <w:p>
                  <w:pPr>
                    <w:widowControl/>
                    <w:spacing w:line="0" w:lineRule="atLeast"/>
                    <w:ind w:firstLine="420"/>
                    <w:jc w:val="left"/>
                    <w:rPr>
                      <w:sz w:val="21"/>
                      <w:szCs w:val="21"/>
                    </w:rPr>
                  </w:pPr>
                  <w:r>
                    <w:rPr>
                      <w:rFonts w:hint="eastAsia" w:ascii="宋体" w:hAnsi="宋体" w:eastAsia="宋体" w:cs="宋体"/>
                      <w:kern w:val="0"/>
                      <w:sz w:val="21"/>
                      <w:szCs w:val="21"/>
                      <w:lang w:bidi="ar"/>
                    </w:rPr>
                    <w:t>预处理标准</w:t>
                  </w:r>
                  <w:r>
                    <w:rPr>
                      <w:rFonts w:eastAsia="宋体" w:cs="Times New Roman"/>
                      <w:kern w:val="0"/>
                      <w:sz w:val="21"/>
                      <w:szCs w:val="21"/>
                      <w:lang w:bidi="ar"/>
                    </w:rPr>
                    <w:t>:</w:t>
                  </w:r>
                  <w:r>
                    <w:rPr>
                      <w:rFonts w:hint="eastAsia" w:ascii="宋体" w:hAnsi="宋体" w:eastAsia="宋体" w:cs="宋体"/>
                      <w:kern w:val="0"/>
                      <w:sz w:val="21"/>
                      <w:szCs w:val="21"/>
                      <w:lang w:bidi="ar"/>
                    </w:rPr>
                    <w:t>消毒接触池接触时间</w:t>
                  </w:r>
                  <w:r>
                    <w:rPr>
                      <w:rFonts w:eastAsia="宋体" w:cs="Times New Roman"/>
                      <w:kern w:val="0"/>
                      <w:sz w:val="21"/>
                      <w:szCs w:val="21"/>
                      <w:lang w:bidi="ar"/>
                    </w:rPr>
                    <w:t>≥1 h,</w:t>
                  </w:r>
                  <w:r>
                    <w:rPr>
                      <w:rFonts w:hint="eastAsia" w:ascii="宋体" w:hAnsi="宋体" w:eastAsia="宋体" w:cs="宋体"/>
                      <w:kern w:val="0"/>
                      <w:sz w:val="21"/>
                      <w:szCs w:val="21"/>
                      <w:lang w:bidi="ar"/>
                    </w:rPr>
                    <w:t xml:space="preserve">接触池出口总余氯 </w:t>
                  </w:r>
                  <w:r>
                    <w:rPr>
                      <w:rFonts w:eastAsia="宋体" w:cs="Times New Roman"/>
                      <w:kern w:val="0"/>
                      <w:sz w:val="21"/>
                      <w:szCs w:val="21"/>
                      <w:lang w:bidi="ar"/>
                    </w:rPr>
                    <w:t>2~8 mg/L</w:t>
                  </w:r>
                  <w:r>
                    <w:rPr>
                      <w:rFonts w:hint="eastAsia" w:ascii="宋体" w:hAnsi="宋体" w:eastAsia="宋体" w:cs="宋体"/>
                      <w:kern w:val="0"/>
                      <w:sz w:val="21"/>
                      <w:szCs w:val="21"/>
                      <w:lang w:bidi="ar"/>
                    </w:rPr>
                    <w:t xml:space="preserve">。 </w:t>
                  </w:r>
                </w:p>
                <w:p>
                  <w:pPr>
                    <w:widowControl/>
                    <w:spacing w:line="0" w:lineRule="atLeast"/>
                    <w:ind w:firstLine="420"/>
                    <w:jc w:val="left"/>
                    <w:rPr>
                      <w:sz w:val="21"/>
                      <w:szCs w:val="21"/>
                    </w:rPr>
                  </w:pPr>
                  <w:r>
                    <w:rPr>
                      <w:rFonts w:eastAsia="宋体" w:cs="Times New Roman"/>
                      <w:kern w:val="0"/>
                      <w:sz w:val="21"/>
                      <w:szCs w:val="21"/>
                      <w:lang w:bidi="ar"/>
                    </w:rPr>
                    <w:t>2)</w:t>
                  </w:r>
                  <w:r>
                    <w:rPr>
                      <w:rFonts w:hint="eastAsia" w:ascii="宋体" w:hAnsi="宋体" w:eastAsia="宋体" w:cs="宋体"/>
                      <w:kern w:val="0"/>
                      <w:sz w:val="21"/>
                      <w:szCs w:val="21"/>
                      <w:lang w:bidi="ar"/>
                    </w:rPr>
                    <w:t>采用其他消毒剂对总余氯不做要求。</w:t>
                  </w:r>
                </w:p>
              </w:tc>
            </w:tr>
          </w:tbl>
          <w:p>
            <w:pPr>
              <w:pStyle w:val="66"/>
              <w:rPr>
                <w:sz w:val="21"/>
                <w:szCs w:val="21"/>
              </w:rPr>
            </w:pPr>
          </w:p>
          <w:p>
            <w:pPr>
              <w:pStyle w:val="33"/>
              <w:spacing w:before="0" w:after="0" w:line="360" w:lineRule="auto"/>
              <w:ind w:firstLine="482"/>
            </w:pPr>
            <w:r>
              <w:rPr>
                <w:rFonts w:hint="eastAsia"/>
              </w:rPr>
              <w:t>4、固废</w:t>
            </w:r>
          </w:p>
          <w:p>
            <w:pPr>
              <w:ind w:firstLine="480"/>
            </w:pPr>
            <w:r>
              <w:rPr>
                <w:rFonts w:hint="eastAsia"/>
              </w:rPr>
              <w:t>本项目医疗废物</w:t>
            </w:r>
            <w:r>
              <w:t>执行</w:t>
            </w:r>
            <w:r>
              <w:rPr>
                <w:rFonts w:hint="eastAsia"/>
              </w:rPr>
              <w:t>《医疗废物处理处置污染控制标准》（GB39707-2020）和</w:t>
            </w:r>
            <w:r>
              <w:t>《危险废物贮存污染控制标准》（GB 18597-2001）</w:t>
            </w:r>
            <w:r>
              <w:rPr>
                <w:rFonts w:hint="eastAsia"/>
              </w:rPr>
              <w:t>，一般固体废物执行《一般工业固体废物贮存和填埋 污染控制标准（GB18599-2020）》，废水处理站污泥</w:t>
            </w:r>
            <w:r>
              <w:t>执行《医疗机构水污染排放标准》（GB18466-2005）</w:t>
            </w:r>
            <w:r>
              <w:rPr>
                <w:rFonts w:hint="eastAsia"/>
              </w:rPr>
              <w:t>中的</w:t>
            </w:r>
            <w:r>
              <w:t>污泥控制标准</w:t>
            </w:r>
            <w:r>
              <w:rPr>
                <w:rFonts w:hint="eastAsia"/>
              </w:rPr>
              <w:t>。</w:t>
            </w:r>
          </w:p>
          <w:p>
            <w:pPr>
              <w:pStyle w:val="66"/>
            </w:pPr>
            <w:r>
              <w:rPr>
                <w:rFonts w:hint="eastAsia"/>
              </w:rPr>
              <w:t xml:space="preserve">表3-7 </w:t>
            </w:r>
            <w:r>
              <w:t>医疗机构污泥排放标准值</w:t>
            </w:r>
          </w:p>
          <w:tbl>
            <w:tblPr>
              <w:tblStyle w:val="36"/>
              <w:tblW w:w="8207"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726"/>
              <w:gridCol w:w="1479"/>
              <w:gridCol w:w="1325"/>
              <w:gridCol w:w="1144"/>
              <w:gridCol w:w="1103"/>
              <w:gridCol w:w="143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5" w:hRule="atLeast"/>
              </w:trPr>
              <w:tc>
                <w:tcPr>
                  <w:tcW w:w="1726" w:type="dxa"/>
                  <w:tcBorders>
                    <w:tl2br w:val="nil"/>
                    <w:tr2bl w:val="nil"/>
                  </w:tcBorders>
                </w:tcPr>
                <w:p>
                  <w:pPr>
                    <w:pStyle w:val="146"/>
                  </w:pPr>
                  <w:r>
                    <w:t>医疗机构类别</w:t>
                  </w:r>
                </w:p>
              </w:tc>
              <w:tc>
                <w:tcPr>
                  <w:tcW w:w="1479" w:type="dxa"/>
                  <w:tcBorders>
                    <w:tl2br w:val="nil"/>
                    <w:tr2bl w:val="nil"/>
                  </w:tcBorders>
                </w:tcPr>
                <w:p>
                  <w:pPr>
                    <w:pStyle w:val="52"/>
                  </w:pPr>
                  <w:r>
                    <w:t>粪大肠菌群数</w:t>
                  </w:r>
                </w:p>
                <w:p>
                  <w:pPr>
                    <w:pStyle w:val="52"/>
                  </w:pPr>
                  <w:r>
                    <w:rPr>
                      <w:rFonts w:hint="eastAsia"/>
                    </w:rPr>
                    <w:t>（</w:t>
                  </w:r>
                  <w:r>
                    <w:t>MPN/g）</w:t>
                  </w:r>
                </w:p>
              </w:tc>
              <w:tc>
                <w:tcPr>
                  <w:tcW w:w="1325" w:type="dxa"/>
                  <w:tcBorders>
                    <w:tl2br w:val="nil"/>
                    <w:tr2bl w:val="nil"/>
                  </w:tcBorders>
                </w:tcPr>
                <w:p>
                  <w:pPr>
                    <w:pStyle w:val="146"/>
                  </w:pPr>
                  <w:r>
                    <w:t>肠道致病菌</w:t>
                  </w:r>
                </w:p>
              </w:tc>
              <w:tc>
                <w:tcPr>
                  <w:tcW w:w="1144" w:type="dxa"/>
                  <w:tcBorders>
                    <w:tl2br w:val="nil"/>
                    <w:tr2bl w:val="nil"/>
                  </w:tcBorders>
                </w:tcPr>
                <w:p>
                  <w:pPr>
                    <w:pStyle w:val="146"/>
                  </w:pPr>
                  <w:r>
                    <w:t>肠道病毒</w:t>
                  </w:r>
                </w:p>
              </w:tc>
              <w:tc>
                <w:tcPr>
                  <w:tcW w:w="1103" w:type="dxa"/>
                  <w:tcBorders>
                    <w:tl2br w:val="nil"/>
                    <w:tr2bl w:val="nil"/>
                  </w:tcBorders>
                </w:tcPr>
                <w:p>
                  <w:pPr>
                    <w:pStyle w:val="146"/>
                  </w:pPr>
                  <w:r>
                    <w:t>结核杆菌</w:t>
                  </w:r>
                </w:p>
              </w:tc>
              <w:tc>
                <w:tcPr>
                  <w:tcW w:w="1430" w:type="dxa"/>
                  <w:tcBorders>
                    <w:tl2br w:val="nil"/>
                    <w:tr2bl w:val="nil"/>
                  </w:tcBorders>
                </w:tcPr>
                <w:p>
                  <w:pPr>
                    <w:pStyle w:val="52"/>
                  </w:pPr>
                  <w:r>
                    <w:t>蛔虫卵死亡率(%)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1726" w:type="dxa"/>
                  <w:tcBorders>
                    <w:tl2br w:val="nil"/>
                    <w:tr2bl w:val="nil"/>
                  </w:tcBorders>
                </w:tcPr>
                <w:p>
                  <w:pPr>
                    <w:pStyle w:val="146"/>
                  </w:pPr>
                  <w:r>
                    <w:t>综合性医疗机构</w:t>
                  </w:r>
                </w:p>
              </w:tc>
              <w:tc>
                <w:tcPr>
                  <w:tcW w:w="1479" w:type="dxa"/>
                  <w:tcBorders>
                    <w:tl2br w:val="nil"/>
                    <w:tr2bl w:val="nil"/>
                  </w:tcBorders>
                </w:tcPr>
                <w:p>
                  <w:pPr>
                    <w:pStyle w:val="146"/>
                  </w:pPr>
                  <w:r>
                    <w:t>≤100</w:t>
                  </w:r>
                </w:p>
              </w:tc>
              <w:tc>
                <w:tcPr>
                  <w:tcW w:w="1325" w:type="dxa"/>
                  <w:tcBorders>
                    <w:tl2br w:val="nil"/>
                    <w:tr2bl w:val="nil"/>
                  </w:tcBorders>
                </w:tcPr>
                <w:p>
                  <w:pPr>
                    <w:pStyle w:val="146"/>
                  </w:pPr>
                  <w:r>
                    <w:rPr>
                      <w:rFonts w:hint="eastAsia"/>
                    </w:rPr>
                    <w:t>——</w:t>
                  </w:r>
                </w:p>
              </w:tc>
              <w:tc>
                <w:tcPr>
                  <w:tcW w:w="1144" w:type="dxa"/>
                  <w:tcBorders>
                    <w:tl2br w:val="nil"/>
                    <w:tr2bl w:val="nil"/>
                  </w:tcBorders>
                </w:tcPr>
                <w:p>
                  <w:pPr>
                    <w:pStyle w:val="146"/>
                  </w:pPr>
                  <w:r>
                    <w:rPr>
                      <w:rFonts w:hint="eastAsia"/>
                    </w:rPr>
                    <w:t>——</w:t>
                  </w:r>
                </w:p>
              </w:tc>
              <w:tc>
                <w:tcPr>
                  <w:tcW w:w="1103" w:type="dxa"/>
                  <w:tcBorders>
                    <w:tl2br w:val="nil"/>
                    <w:tr2bl w:val="nil"/>
                  </w:tcBorders>
                </w:tcPr>
                <w:p>
                  <w:pPr>
                    <w:pStyle w:val="146"/>
                  </w:pPr>
                  <w:r>
                    <w:rPr>
                      <w:rFonts w:hint="eastAsia"/>
                    </w:rPr>
                    <w:t>——</w:t>
                  </w:r>
                </w:p>
              </w:tc>
              <w:tc>
                <w:tcPr>
                  <w:tcW w:w="1430" w:type="dxa"/>
                  <w:tcBorders>
                    <w:tl2br w:val="nil"/>
                    <w:tr2bl w:val="nil"/>
                  </w:tcBorders>
                </w:tcPr>
                <w:p>
                  <w:pPr>
                    <w:pStyle w:val="146"/>
                  </w:pPr>
                  <w:r>
                    <w:t>&gt;95</w:t>
                  </w:r>
                </w:p>
              </w:tc>
            </w:tr>
          </w:tbl>
          <w:p>
            <w:pPr>
              <w:autoSpaceDE w:val="0"/>
              <w:autoSpaceDN w:val="0"/>
              <w:adjustRightInd w:val="0"/>
              <w:snapToGrid w:val="0"/>
              <w:spacing w:line="240" w:lineRule="auto"/>
              <w:ind w:firstLine="0" w:firstLineChars="0"/>
              <w:jc w:val="left"/>
              <w:rPr>
                <w:rFonts w:ascii="仿宋" w:eastAsia="仿宋" w:cs="仿宋" w:hAnsiTheme="minorHAnsi"/>
                <w:kern w:val="0"/>
                <w:szCs w:val="24"/>
              </w:rPr>
            </w:pPr>
            <w:r>
              <w:rPr>
                <w:rFonts w:hint="eastAsia" w:ascii="仿宋" w:eastAsia="仿宋" w:cs="仿宋" w:hAnsiTheme="minorHAnsi"/>
                <w:kern w:val="0"/>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59" w:type="dxa"/>
            <w:vAlign w:val="center"/>
          </w:tcPr>
          <w:p>
            <w:pPr>
              <w:adjustRightInd w:val="0"/>
              <w:snapToGrid w:val="0"/>
              <w:ind w:firstLine="0" w:firstLineChars="0"/>
              <w:rPr>
                <w:rFonts w:cs="Times New Roman" w:asciiTheme="minorEastAsia" w:hAnsiTheme="minorEastAsia"/>
                <w:b/>
                <w:szCs w:val="24"/>
              </w:rPr>
            </w:pPr>
            <w:r>
              <w:rPr>
                <w:rFonts w:hint="eastAsia" w:cs="Times New Roman" w:asciiTheme="minorEastAsia" w:hAnsiTheme="minorEastAsia"/>
                <w:b/>
                <w:szCs w:val="24"/>
              </w:rPr>
              <w:t>总量控制指标</w:t>
            </w:r>
          </w:p>
        </w:tc>
        <w:tc>
          <w:tcPr>
            <w:tcW w:w="8423" w:type="dxa"/>
          </w:tcPr>
          <w:p>
            <w:pPr>
              <w:ind w:firstLine="480"/>
            </w:pPr>
            <w:r>
              <w:rPr>
                <w:rFonts w:hint="eastAsia"/>
              </w:rPr>
              <w:t>废气：无。</w:t>
            </w:r>
          </w:p>
          <w:p>
            <w:pPr>
              <w:ind w:firstLine="480"/>
            </w:pPr>
            <w:r>
              <w:t>废水：</w:t>
            </w:r>
            <w:r>
              <w:rPr>
                <w:rFonts w:hint="eastAsia"/>
                <w:b/>
                <w:bCs/>
              </w:rPr>
              <w:t>姚安县城镇污水管网建到下新屯村委会前</w:t>
            </w:r>
            <w:r>
              <w:rPr>
                <w:rFonts w:hint="eastAsia"/>
              </w:rPr>
              <w:t>，项目废水经过处理达标后排入蜻岭河，建议项目废水排放总量控制指标为4241.3t/a，</w:t>
            </w:r>
            <w:r>
              <w:t>COD</w:t>
            </w:r>
            <w:r>
              <w:rPr>
                <w:rFonts w:hint="eastAsia"/>
              </w:rPr>
              <w:t>排放量控制指标为0.25t/a，氨氮排放量控制指标为0.06t/a；</w:t>
            </w:r>
            <w:r>
              <w:rPr>
                <w:rFonts w:hint="eastAsia"/>
                <w:b/>
                <w:bCs/>
              </w:rPr>
              <w:t>姚安县城镇污水管网建到下新屯村委会后</w:t>
            </w:r>
            <w:r>
              <w:rPr>
                <w:rFonts w:hint="eastAsia"/>
              </w:rPr>
              <w:t>，本项目废水最终进入湾碧乡污水处理厂统一处理，总量纳入姚安县污水处理厂考核，本项目不单独设总量控制指标。</w:t>
            </w:r>
          </w:p>
          <w:p>
            <w:pPr>
              <w:ind w:firstLine="480"/>
            </w:pPr>
            <w:r>
              <w:rPr>
                <w:rFonts w:hint="eastAsia"/>
              </w:rPr>
              <w:t>固废：无。</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adjustRightInd w:val="0"/>
              <w:snapToGrid w:val="0"/>
              <w:spacing w:line="240" w:lineRule="auto"/>
              <w:ind w:firstLine="0" w:firstLineChars="0"/>
              <w:rPr>
                <w:rFonts w:cs="Times New Roman" w:asciiTheme="minorEastAsia" w:hAnsiTheme="minorEastAsia"/>
                <w:b/>
                <w:szCs w:val="24"/>
              </w:rPr>
            </w:pPr>
          </w:p>
          <w:p>
            <w:pPr>
              <w:adjustRightInd w:val="0"/>
              <w:snapToGrid w:val="0"/>
              <w:spacing w:line="240" w:lineRule="auto"/>
              <w:ind w:firstLine="482"/>
              <w:rPr>
                <w:rFonts w:cs="Times New Roman" w:asciiTheme="minorEastAsia" w:hAnsiTheme="minorEastAsia"/>
                <w:b/>
                <w:szCs w:val="24"/>
              </w:rPr>
            </w:pPr>
          </w:p>
          <w:p>
            <w:pPr>
              <w:adjustRightInd w:val="0"/>
              <w:snapToGrid w:val="0"/>
              <w:spacing w:line="240" w:lineRule="auto"/>
              <w:ind w:firstLine="482"/>
              <w:rPr>
                <w:rFonts w:cs="Times New Roman" w:asciiTheme="minorEastAsia" w:hAnsiTheme="minorEastAsia"/>
                <w:b/>
                <w:szCs w:val="24"/>
              </w:rPr>
            </w:pPr>
          </w:p>
          <w:p>
            <w:pPr>
              <w:adjustRightInd w:val="0"/>
              <w:snapToGrid w:val="0"/>
              <w:spacing w:line="240" w:lineRule="auto"/>
              <w:ind w:firstLine="482"/>
              <w:rPr>
                <w:rFonts w:cs="Times New Roman" w:asciiTheme="minorEastAsia" w:hAnsiTheme="minorEastAsia"/>
                <w:b/>
                <w:szCs w:val="24"/>
              </w:rPr>
            </w:pPr>
          </w:p>
        </w:tc>
      </w:tr>
    </w:tbl>
    <w:p>
      <w:pPr>
        <w:widowControl/>
        <w:ind w:firstLine="480"/>
        <w:jc w:val="left"/>
        <w:rPr>
          <w:rFonts w:cs="Times New Roman" w:asciiTheme="minorEastAsia" w:hAnsiTheme="minorEastAsia"/>
          <w:szCs w:val="20"/>
        </w:rPr>
      </w:pPr>
      <w:r>
        <w:rPr>
          <w:rFonts w:cs="Times New Roman" w:asciiTheme="minorEastAsia" w:hAnsiTheme="minorEastAsia"/>
          <w:szCs w:val="20"/>
        </w:rPr>
        <w:br w:type="page"/>
      </w:r>
    </w:p>
    <w:p>
      <w:pPr>
        <w:pStyle w:val="4"/>
      </w:pPr>
      <w:bookmarkStart w:id="60" w:name="_Toc341946647"/>
      <w:bookmarkStart w:id="61" w:name="_Toc376855815"/>
      <w:bookmarkStart w:id="62" w:name="_Toc458883641"/>
      <w:bookmarkStart w:id="63" w:name="_Toc68101068"/>
      <w:r>
        <w:rPr>
          <w:rFonts w:hint="eastAsia"/>
        </w:rPr>
        <w:t>四、</w:t>
      </w:r>
      <w:bookmarkEnd w:id="60"/>
      <w:bookmarkEnd w:id="61"/>
      <w:bookmarkEnd w:id="62"/>
      <w:r>
        <w:rPr>
          <w:rFonts w:hint="eastAsia"/>
        </w:rPr>
        <w:t>主要环境影响和保护措施</w:t>
      </w:r>
      <w:bookmarkEnd w:id="63"/>
    </w:p>
    <w:tbl>
      <w:tblPr>
        <w:tblStyle w:val="36"/>
        <w:tblpPr w:leftFromText="180" w:rightFromText="180" w:vertAnchor="text" w:tblpXSpec="center" w:tblpY="1"/>
        <w:tblOverlap w:val="never"/>
        <w:tblW w:w="96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86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8" w:hRule="atLeast"/>
        </w:trPr>
        <w:tc>
          <w:tcPr>
            <w:tcW w:w="959" w:type="dxa"/>
            <w:vAlign w:val="center"/>
          </w:tcPr>
          <w:p>
            <w:pPr>
              <w:ind w:firstLine="0" w:firstLineChars="0"/>
              <w:jc w:val="center"/>
              <w:rPr>
                <w:rFonts w:cs="Times New Roman" w:asciiTheme="minorEastAsia" w:hAnsiTheme="minorEastAsia"/>
                <w:b/>
                <w:bCs/>
                <w:szCs w:val="20"/>
              </w:rPr>
            </w:pPr>
            <w:r>
              <w:rPr>
                <w:rFonts w:hint="eastAsia" w:cs="Times New Roman" w:asciiTheme="minorEastAsia" w:hAnsiTheme="minorEastAsia"/>
                <w:b/>
                <w:bCs/>
                <w:szCs w:val="20"/>
              </w:rPr>
              <w:t>施工期环境保护措施</w:t>
            </w:r>
          </w:p>
        </w:tc>
        <w:tc>
          <w:tcPr>
            <w:tcW w:w="8669" w:type="dxa"/>
          </w:tcPr>
          <w:p>
            <w:pPr>
              <w:ind w:firstLine="480"/>
            </w:pPr>
            <w:r>
              <w:rPr>
                <w:rFonts w:hint="eastAsia"/>
              </w:rPr>
              <w:t>项目卫生院已建成，并运营多年，此次施工主要为一体化污水处理站的建设，施工内容少，施工期较短，施工期的影响随着施工期的结束而消除。本次施工是在卫生院原有占地范围内施工，不新增占地，不涉及新的生态破坏。</w:t>
            </w:r>
          </w:p>
          <w:p>
            <w:pPr>
              <w:ind w:firstLine="480"/>
            </w:pPr>
            <w:r>
              <w:rPr>
                <w:rFonts w:hint="eastAsia"/>
              </w:rPr>
              <w:t>项目在施工过程中产生的废气主要为扬尘，经采取洒水降尘的措施后，对周边环境影响较小；施工废水产生量很少通过收集沉淀后施工回用；施工过程主要采用人工作业机械噪声较少，但工程量极小，通过合理安排施工时间后，对周边环境影响不大；固体废弃物主要为施工开挖后的土石方，开挖后的土方全部回填。</w:t>
            </w:r>
          </w:p>
          <w:p>
            <w:pPr>
              <w:ind w:firstLine="480"/>
            </w:pPr>
            <w:r>
              <w:rPr>
                <w:rFonts w:hint="eastAsia"/>
              </w:rPr>
              <w:t>综上所述，项目施工期产生的各类污染物均采取了相应的处理措施，且项目施工期较短，施工期的影响随着施工期的结束而消除，对周边环境影响不大。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8" w:hRule="atLeast"/>
        </w:trPr>
        <w:tc>
          <w:tcPr>
            <w:tcW w:w="959" w:type="dxa"/>
            <w:vAlign w:val="center"/>
          </w:tcPr>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Cs/>
                <w:szCs w:val="20"/>
              </w:rPr>
            </w:pPr>
            <w:r>
              <w:rPr>
                <w:rFonts w:hint="eastAsia" w:cs="Times New Roman" w:asciiTheme="minorEastAsia" w:hAnsiTheme="minorEastAsia"/>
                <w:b/>
                <w:bCs/>
                <w:szCs w:val="20"/>
              </w:rPr>
              <w:t>运营期环境影响及保护措施</w:t>
            </w:r>
          </w:p>
          <w:p>
            <w:pPr>
              <w:ind w:firstLine="600"/>
              <w:jc w:val="center"/>
              <w:rPr>
                <w:rFonts w:cs="Times New Roman" w:asciiTheme="minorEastAsia" w:hAnsiTheme="minorEastAsia"/>
                <w:bCs/>
                <w:sz w:val="30"/>
                <w:szCs w:val="30"/>
              </w:rPr>
            </w:pPr>
          </w:p>
          <w:p>
            <w:pPr>
              <w:ind w:firstLine="600"/>
              <w:jc w:val="center"/>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Cs/>
                <w:szCs w:val="20"/>
              </w:rPr>
            </w:pPr>
            <w:r>
              <w:rPr>
                <w:rFonts w:hint="eastAsia" w:cs="Times New Roman" w:asciiTheme="minorEastAsia" w:hAnsiTheme="minorEastAsia"/>
                <w:b/>
                <w:bCs/>
                <w:szCs w:val="20"/>
              </w:rPr>
              <w:t>运营期环境影响及保护措施</w:t>
            </w: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Cs/>
                <w:szCs w:val="20"/>
              </w:rPr>
            </w:pPr>
            <w:r>
              <w:rPr>
                <w:rFonts w:hint="eastAsia" w:cs="Times New Roman" w:asciiTheme="minorEastAsia" w:hAnsiTheme="minorEastAsia"/>
                <w:b/>
                <w:bCs/>
                <w:szCs w:val="20"/>
              </w:rPr>
              <w:t>运营期环境影响及保护措施</w:t>
            </w: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Cs/>
                <w:szCs w:val="20"/>
              </w:rPr>
            </w:pPr>
            <w:r>
              <w:rPr>
                <w:rFonts w:hint="eastAsia" w:cs="Times New Roman" w:asciiTheme="minorEastAsia" w:hAnsiTheme="minorEastAsia"/>
                <w:b/>
                <w:bCs/>
                <w:szCs w:val="20"/>
              </w:rPr>
              <w:t>运营期环境影响及保护措施</w:t>
            </w: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Cs/>
                <w:szCs w:val="20"/>
              </w:rPr>
            </w:pPr>
            <w:r>
              <w:rPr>
                <w:rFonts w:hint="eastAsia" w:cs="Times New Roman" w:asciiTheme="minorEastAsia" w:hAnsiTheme="minorEastAsia"/>
                <w:b/>
                <w:bCs/>
                <w:szCs w:val="20"/>
              </w:rPr>
              <w:t>运营期环境影响及保护措施</w:t>
            </w: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Cs/>
                <w:szCs w:val="20"/>
              </w:rPr>
            </w:pPr>
            <w:r>
              <w:rPr>
                <w:rFonts w:hint="eastAsia" w:cs="Times New Roman" w:asciiTheme="minorEastAsia" w:hAnsiTheme="minorEastAsia"/>
                <w:b/>
                <w:bCs/>
                <w:szCs w:val="20"/>
              </w:rPr>
              <w:t>运营期环境影响及保护措施</w:t>
            </w: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Cs/>
                <w:szCs w:val="20"/>
              </w:rPr>
            </w:pPr>
            <w:r>
              <w:rPr>
                <w:rFonts w:hint="eastAsia" w:cs="Times New Roman" w:asciiTheme="minorEastAsia" w:hAnsiTheme="minorEastAsia"/>
                <w:b/>
                <w:bCs/>
                <w:szCs w:val="20"/>
              </w:rPr>
              <w:t>运营期环境影响及保护措施</w:t>
            </w: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Cs/>
                <w:szCs w:val="20"/>
              </w:rPr>
            </w:pPr>
            <w:r>
              <w:rPr>
                <w:rFonts w:hint="eastAsia" w:cs="Times New Roman" w:asciiTheme="minorEastAsia" w:hAnsiTheme="minorEastAsia"/>
                <w:b/>
                <w:bCs/>
                <w:szCs w:val="20"/>
              </w:rPr>
              <w:t>运营期环境影响及保护措施</w:t>
            </w: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Cs/>
                <w:szCs w:val="20"/>
              </w:rPr>
            </w:pPr>
            <w:r>
              <w:rPr>
                <w:rFonts w:hint="eastAsia" w:cs="Times New Roman" w:asciiTheme="minorEastAsia" w:hAnsiTheme="minorEastAsia"/>
                <w:b/>
                <w:bCs/>
                <w:szCs w:val="20"/>
              </w:rPr>
              <w:t>运营期环境影响及保护措施</w:t>
            </w: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198" w:firstLineChars="66"/>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Cs/>
                <w:szCs w:val="20"/>
              </w:rPr>
            </w:pPr>
            <w:r>
              <w:rPr>
                <w:rFonts w:hint="eastAsia" w:cs="Times New Roman" w:asciiTheme="minorEastAsia" w:hAnsiTheme="minorEastAsia"/>
                <w:b/>
                <w:bCs/>
                <w:szCs w:val="20"/>
              </w:rPr>
              <w:t>运营期环境影响及保护措施</w:t>
            </w: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Cs/>
                <w:szCs w:val="20"/>
              </w:rPr>
            </w:pPr>
            <w:r>
              <w:rPr>
                <w:rFonts w:hint="eastAsia" w:cs="Times New Roman" w:asciiTheme="minorEastAsia" w:hAnsiTheme="minorEastAsia"/>
                <w:b/>
                <w:bCs/>
                <w:szCs w:val="20"/>
              </w:rPr>
              <w:t>运营期环境影响及保护措施</w:t>
            </w: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Cs/>
                <w:szCs w:val="20"/>
              </w:rPr>
            </w:pPr>
            <w:r>
              <w:rPr>
                <w:rFonts w:hint="eastAsia" w:cs="Times New Roman" w:asciiTheme="minorEastAsia" w:hAnsiTheme="minorEastAsia"/>
                <w:b/>
                <w:bCs/>
                <w:szCs w:val="20"/>
              </w:rPr>
              <w:t>运营期环境影响及保护措施</w:t>
            </w: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Cs/>
                <w:szCs w:val="20"/>
              </w:rPr>
            </w:pPr>
            <w:r>
              <w:rPr>
                <w:rFonts w:hint="eastAsia" w:cs="Times New Roman" w:asciiTheme="minorEastAsia" w:hAnsiTheme="minorEastAsia"/>
                <w:b/>
                <w:bCs/>
                <w:szCs w:val="20"/>
              </w:rPr>
              <w:t>运营期环境影响及保护措施</w:t>
            </w: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Cs/>
                <w:szCs w:val="20"/>
              </w:rPr>
            </w:pPr>
            <w:r>
              <w:rPr>
                <w:rFonts w:hint="eastAsia" w:cs="Times New Roman" w:asciiTheme="minorEastAsia" w:hAnsiTheme="minorEastAsia"/>
                <w:b/>
                <w:bCs/>
                <w:szCs w:val="20"/>
              </w:rPr>
              <w:t>运营期环境影响及保护措施</w:t>
            </w: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Cs/>
                <w:szCs w:val="20"/>
              </w:rPr>
            </w:pPr>
            <w:r>
              <w:rPr>
                <w:rFonts w:hint="eastAsia" w:cs="Times New Roman" w:asciiTheme="minorEastAsia" w:hAnsiTheme="minorEastAsia"/>
                <w:b/>
                <w:bCs/>
                <w:szCs w:val="20"/>
              </w:rPr>
              <w:t>运营期环境影响及保护措施</w:t>
            </w: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
                <w:bCs/>
                <w:szCs w:val="20"/>
              </w:rPr>
            </w:pPr>
          </w:p>
          <w:p>
            <w:pPr>
              <w:ind w:firstLine="0" w:firstLineChars="0"/>
              <w:jc w:val="center"/>
              <w:rPr>
                <w:rFonts w:cs="Times New Roman" w:asciiTheme="minorEastAsia" w:hAnsiTheme="minorEastAsia"/>
                <w:bCs/>
                <w:szCs w:val="20"/>
              </w:rPr>
            </w:pPr>
            <w:r>
              <w:rPr>
                <w:rFonts w:hint="eastAsia" w:cs="Times New Roman" w:asciiTheme="minorEastAsia" w:hAnsiTheme="minorEastAsia"/>
                <w:b/>
                <w:bCs/>
                <w:szCs w:val="20"/>
              </w:rPr>
              <w:t>运营期环境影响及保护措施</w:t>
            </w: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p>
            <w:pPr>
              <w:ind w:firstLine="600"/>
              <w:rPr>
                <w:rFonts w:cs="Times New Roman" w:asciiTheme="minorEastAsia" w:hAnsiTheme="minorEastAsia"/>
                <w:bCs/>
                <w:sz w:val="30"/>
                <w:szCs w:val="30"/>
              </w:rPr>
            </w:pPr>
          </w:p>
        </w:tc>
        <w:tc>
          <w:tcPr>
            <w:tcW w:w="8669" w:type="dxa"/>
            <w:vAlign w:val="center"/>
          </w:tcPr>
          <w:p>
            <w:pPr>
              <w:pStyle w:val="33"/>
              <w:ind w:firstLine="482"/>
            </w:pPr>
            <w:r>
              <w:t>1</w:t>
            </w:r>
            <w:r>
              <w:rPr>
                <w:rFonts w:hint="eastAsia"/>
              </w:rPr>
              <w:t>、废气</w:t>
            </w:r>
          </w:p>
          <w:p>
            <w:pPr>
              <w:ind w:firstLine="480"/>
            </w:pPr>
            <w:r>
              <w:rPr>
                <w:rFonts w:hint="eastAsia"/>
              </w:rPr>
              <w:t>项目</w:t>
            </w:r>
            <w:r>
              <w:t>主要废气排放为</w:t>
            </w:r>
            <w:r>
              <w:rPr>
                <w:rFonts w:hint="eastAsia"/>
              </w:rPr>
              <w:t>：废水处理站、医院消毒、医疗废物和生活垃圾等产生的异味，发电机废气，以及食堂油烟。</w:t>
            </w:r>
          </w:p>
          <w:p>
            <w:pPr>
              <w:ind w:firstLine="480"/>
            </w:pPr>
            <w:r>
              <w:rPr>
                <w:rFonts w:hint="eastAsia"/>
              </w:rPr>
              <w:t>（1）备用发电机组烟气</w:t>
            </w:r>
          </w:p>
          <w:p>
            <w:pPr>
              <w:ind w:firstLine="480"/>
            </w:pPr>
            <w:r>
              <w:rPr>
                <w:rFonts w:hint="eastAsia"/>
              </w:rPr>
              <w:t>为防止停电造成医用设备不能正常运行，医院在北侧发电机房设置有一台30kW的柴油发电机，发电过程中会产生一定量的燃油烟气，废气中主要污染物为</w:t>
            </w:r>
            <w:r>
              <w:t>CO</w:t>
            </w:r>
            <w:r>
              <w:rPr>
                <w:rFonts w:hint="eastAsia"/>
              </w:rPr>
              <w:t>、</w:t>
            </w:r>
            <w:r>
              <w:t>HC</w:t>
            </w:r>
            <w:r>
              <w:rPr>
                <w:rFonts w:hint="eastAsia"/>
              </w:rPr>
              <w:t>、</w:t>
            </w:r>
            <w:r>
              <w:t>PM</w:t>
            </w:r>
            <w:r>
              <w:rPr>
                <w:vertAlign w:val="subscript"/>
              </w:rPr>
              <w:t>10</w:t>
            </w:r>
            <w:r>
              <w:rPr>
                <w:rFonts w:hint="eastAsia"/>
              </w:rPr>
              <w:t>、</w:t>
            </w:r>
            <w:r>
              <w:t>NO</w:t>
            </w:r>
            <w:r>
              <w:rPr>
                <w:vertAlign w:val="subscript"/>
              </w:rPr>
              <w:t>x</w:t>
            </w:r>
            <w:r>
              <w:rPr>
                <w:rFonts w:hint="eastAsia"/>
              </w:rPr>
              <w:t>等。柴油发电机房将发动机烟气用管道引到室外绿化地排放，项目区域内供电系统较为稳定，备用发电机使用频率较低，废气产生量小对环境影响很小。</w:t>
            </w:r>
          </w:p>
          <w:p>
            <w:pPr>
              <w:ind w:firstLine="480"/>
              <w:rPr>
                <w:lang w:val="zh-CN"/>
              </w:rPr>
            </w:pPr>
            <w:r>
              <w:rPr>
                <w:rFonts w:hint="eastAsia"/>
              </w:rPr>
              <w:t>（2）</w:t>
            </w:r>
            <w:r>
              <w:rPr>
                <w:rFonts w:hint="eastAsia"/>
                <w:lang w:val="zh-CN"/>
              </w:rPr>
              <w:t>食堂油烟废气</w:t>
            </w:r>
          </w:p>
          <w:p>
            <w:pPr>
              <w:pStyle w:val="2"/>
              <w:ind w:firstLine="480"/>
              <w:rPr>
                <w:kern w:val="0"/>
              </w:rPr>
            </w:pPr>
            <w:r>
              <w:rPr>
                <w:rFonts w:hint="eastAsia"/>
                <w:kern w:val="0"/>
                <w:szCs w:val="20"/>
              </w:rPr>
              <w:t>项目食堂以清洁能源电能为燃料，燃料燃烧排放的大气污染物极少。</w:t>
            </w:r>
            <w:r>
              <w:rPr>
                <w:rFonts w:hint="eastAsia" w:ascii="宋体" w:hAnsi="宋体"/>
              </w:rPr>
              <w:t>油烟产生量</w:t>
            </w:r>
            <w:r>
              <w:rPr>
                <w:rFonts w:hint="eastAsia"/>
              </w:rPr>
              <w:t>25.4</w:t>
            </w:r>
            <w:r>
              <w:t>g/h</w:t>
            </w:r>
            <w:r>
              <w:rPr>
                <w:rFonts w:hAnsi="宋体"/>
              </w:rPr>
              <w:t>，油烟</w:t>
            </w:r>
            <w:r>
              <w:rPr>
                <w:rFonts w:hint="eastAsia" w:hAnsi="宋体"/>
              </w:rPr>
              <w:t>产生</w:t>
            </w:r>
            <w:r>
              <w:rPr>
                <w:rFonts w:hAnsi="宋体"/>
              </w:rPr>
              <w:t>浓</w:t>
            </w:r>
            <w:r>
              <w:rPr>
                <w:rFonts w:hint="eastAsia" w:ascii="宋体" w:hAnsi="宋体"/>
              </w:rPr>
              <w:t>度约</w:t>
            </w:r>
            <w:r>
              <w:rPr>
                <w:rFonts w:hint="eastAsia"/>
              </w:rPr>
              <w:t>4.23</w:t>
            </w:r>
            <w:r>
              <w:t>mg/m</w:t>
            </w:r>
            <w:r>
              <w:rPr>
                <w:vertAlign w:val="superscript"/>
              </w:rPr>
              <w:t>3</w:t>
            </w:r>
            <w:r>
              <w:rPr>
                <w:rFonts w:ascii="宋体" w:hAnsi="宋体"/>
              </w:rPr>
              <w:t>。</w:t>
            </w:r>
            <w:r>
              <w:rPr>
                <w:rFonts w:hint="eastAsia" w:ascii="宋体" w:hAnsi="宋体"/>
              </w:rPr>
              <w:t>食堂装有一套油烟净化器，净化效率按</w:t>
            </w:r>
            <w:r>
              <w:rPr>
                <w:rFonts w:hint="eastAsia"/>
              </w:rPr>
              <w:t>75%计</w:t>
            </w:r>
            <w:r>
              <w:rPr>
                <w:rFonts w:hint="eastAsia" w:ascii="宋体" w:hAnsi="宋体"/>
              </w:rPr>
              <w:t>，则食堂油烟排放浓度</w:t>
            </w:r>
            <w:r>
              <w:rPr>
                <w:rFonts w:hint="eastAsia"/>
              </w:rPr>
              <w:t>为1.06</w:t>
            </w:r>
            <w:r>
              <w:t xml:space="preserve"> mg/m</w:t>
            </w:r>
            <w:r>
              <w:rPr>
                <w:vertAlign w:val="superscript"/>
              </w:rPr>
              <w:t>3</w:t>
            </w:r>
            <w:r>
              <w:rPr>
                <w:rFonts w:hint="eastAsia"/>
              </w:rPr>
              <w:t>，排放量为0.01</w:t>
            </w:r>
            <w:r>
              <w:t xml:space="preserve"> t/a</w:t>
            </w:r>
            <w:r>
              <w:rPr>
                <w:rFonts w:hint="eastAsia"/>
              </w:rPr>
              <w:t>。</w:t>
            </w:r>
            <w:r>
              <w:rPr>
                <w:rFonts w:hint="eastAsia"/>
                <w:kern w:val="0"/>
              </w:rPr>
              <w:t>对周围环境影响较小。</w:t>
            </w:r>
          </w:p>
          <w:p>
            <w:pPr>
              <w:ind w:firstLine="480"/>
            </w:pPr>
            <w:r>
              <w:rPr>
                <w:rFonts w:hint="eastAsia"/>
              </w:rPr>
              <w:t>（3）异味</w:t>
            </w:r>
          </w:p>
          <w:p>
            <w:pPr>
              <w:ind w:firstLine="48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t>污</w:t>
            </w:r>
            <w:r>
              <w:rPr>
                <w:rFonts w:hint="eastAsia"/>
              </w:rPr>
              <w:t>水</w:t>
            </w:r>
            <w:r>
              <w:t>处</w:t>
            </w:r>
            <w:r>
              <w:rPr>
                <w:rFonts w:hint="eastAsia"/>
              </w:rPr>
              <w:t>理设</w:t>
            </w:r>
            <w:r>
              <w:t>施异</w:t>
            </w:r>
            <w:r>
              <w:rPr>
                <w:rFonts w:hint="eastAsia"/>
              </w:rPr>
              <w:t>味</w:t>
            </w:r>
          </w:p>
          <w:p>
            <w:pPr>
              <w:ind w:firstLine="480"/>
            </w:pPr>
            <w:r>
              <w:rPr>
                <w:rFonts w:hint="eastAsia"/>
              </w:rPr>
              <w:t>医院污水处理系统为地埋式，异味散发量很小，污水处理站位于卫生院西侧1#住院楼与2#住院楼间，周围设置有绿化带，经过扩散对人群和周围大气环境影响很小。</w:t>
            </w:r>
          </w:p>
          <w:p>
            <w:pPr>
              <w:ind w:firstLine="48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消毒异味</w:t>
            </w:r>
          </w:p>
          <w:p>
            <w:pPr>
              <w:ind w:firstLine="480"/>
            </w:pPr>
            <w:r>
              <w:t>为降低</w:t>
            </w:r>
            <w:r>
              <w:rPr>
                <w:rFonts w:hint="eastAsia"/>
              </w:rPr>
              <w:t>卫生院内</w:t>
            </w:r>
            <w:r>
              <w:t>空气中的含菌量，院内经常使用</w:t>
            </w:r>
            <w:r>
              <w:rPr>
                <w:rFonts w:hint="eastAsia"/>
              </w:rPr>
              <w:t>次氯酸钠、过氧乙酸等</w:t>
            </w:r>
            <w:r>
              <w:t>消毒剂对楼道、卫生间等进行消毒处理，此过程中会有少量异味产生；</w:t>
            </w:r>
            <w:r>
              <w:rPr>
                <w:rFonts w:hint="eastAsia"/>
              </w:rPr>
              <w:t>此外，项目对衣物进行洗涤消毒过程采用的次氯酸钠消毒间也会产生少量异味。医院消毒异味主要为消毒剂挥发产生，其产生量不大，且主要在室内产生，在保证正常通风换气的情况下，对院内人群和周围环境影响不大。</w:t>
            </w:r>
          </w:p>
          <w:p>
            <w:pPr>
              <w:ind w:firstLine="48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医疗废物暂存间异味</w:t>
            </w:r>
          </w:p>
          <w:p>
            <w:pPr>
              <w:ind w:firstLine="480"/>
            </w:pPr>
            <w:r>
              <w:rPr>
                <w:rFonts w:hint="eastAsia"/>
              </w:rPr>
              <w:t>医疗废物暂存间主要用于临时存储项目内产生的医疗固废，医疗固废上残留的药品、血液、体液及排泄物污染等在临时贮存过程中会有恶臭产生。医院医疗废物装入收集箱后放置于周转箱内，医疗废物暂存间位于3#住院楼南侧独立房间内，平时暂存间均处于密闭状态，散发到外界的异味很小，暂存时间短，暂存时间不超过48小时，对周围环境影响较小。</w:t>
            </w:r>
          </w:p>
          <w:p>
            <w:pPr>
              <w:ind w:firstLine="480"/>
              <w:rPr>
                <w:color w:val="0000FF"/>
              </w:rPr>
            </w:pPr>
            <w:r>
              <w:rPr>
                <w:rFonts w:hint="eastAsia"/>
              </w:rPr>
              <w:t>根据《医疗废物管理条例》第十七条：</w:t>
            </w:r>
            <w:r>
              <w:t>医疗卫生机构应当建立医疗废物的暂时贮存设施、设备，不得露天存放医疗废物</w:t>
            </w:r>
            <w:r>
              <w:rPr>
                <w:rFonts w:hint="eastAsia"/>
              </w:rPr>
              <w:t>，</w:t>
            </w:r>
            <w:r>
              <w:t>医疗废物暂时贮存的时间不得超过2天</w:t>
            </w:r>
            <w:r>
              <w:rPr>
                <w:rFonts w:hint="eastAsia"/>
              </w:rPr>
              <w:t>；根据《医疗卫生机构医疗废物管理办法》第二十条：医疗卫生机构应当建立医疗废物暂时贮存设施、设备，不得露天存放医疗废物，医疗废物暂时贮存的时间不得超过2天。本项目已与楚雄利盈医疗废物处理有限公司签订了医疗废物处置协议，协议第四款乙方责任第二条，已明确要求按照《医疗废物管理条例》执行。</w:t>
            </w:r>
            <w:r>
              <w:rPr>
                <w:rFonts w:hint="eastAsia"/>
                <w:color w:val="0000FF"/>
              </w:rPr>
              <w:t>根据本项目与楚雄利盈医疗废物处理有限公司已签订的《医疗废物委托处置合同书》（见附件2），该合同有效期为2021年7月16日—2021年12月31日，该合同即将到期。</w:t>
            </w:r>
            <w:r>
              <w:rPr>
                <w:rFonts w:cs="Times New Roman"/>
                <w:color w:val="0000FF"/>
              </w:rPr>
              <w:t>楚雄州姚安县医疗废弃物收集转运站</w:t>
            </w:r>
            <w:r>
              <w:rPr>
                <w:rFonts w:hint="eastAsia" w:cs="Times New Roman"/>
                <w:color w:val="0000FF"/>
              </w:rPr>
              <w:t>于2021年5月建成，</w:t>
            </w:r>
            <w:r>
              <w:rPr>
                <w:rFonts w:cs="Times New Roman"/>
                <w:color w:val="0000FF"/>
              </w:rPr>
              <w:t>2021年8月底建成投入试运营</w:t>
            </w:r>
            <w:r>
              <w:rPr>
                <w:rFonts w:hint="eastAsia" w:cs="Times New Roman"/>
                <w:color w:val="0000FF"/>
              </w:rPr>
              <w:t>，</w:t>
            </w:r>
            <w:r>
              <w:rPr>
                <w:rFonts w:eastAsia="宋体" w:cs="Times New Roman"/>
                <w:color w:val="0000FF"/>
                <w:szCs w:val="24"/>
                <w:lang w:bidi="ar"/>
              </w:rPr>
              <w:t>20</w:t>
            </w:r>
            <w:r>
              <w:rPr>
                <w:rFonts w:cs="Times New Roman"/>
                <w:color w:val="0000FF"/>
                <w:szCs w:val="24"/>
                <w:lang w:bidi="ar"/>
              </w:rPr>
              <w:t>21</w:t>
            </w:r>
            <w:r>
              <w:rPr>
                <w:rFonts w:eastAsia="宋体" w:cs="Times New Roman"/>
                <w:color w:val="0000FF"/>
                <w:szCs w:val="24"/>
                <w:lang w:bidi="ar"/>
              </w:rPr>
              <w:t>年</w:t>
            </w:r>
            <w:r>
              <w:rPr>
                <w:rFonts w:hint="eastAsia" w:cs="Times New Roman"/>
                <w:color w:val="0000FF"/>
                <w:szCs w:val="24"/>
                <w:lang w:bidi="ar"/>
              </w:rPr>
              <w:t>10</w:t>
            </w:r>
            <w:r>
              <w:rPr>
                <w:rFonts w:eastAsia="宋体" w:cs="Times New Roman"/>
                <w:color w:val="0000FF"/>
                <w:szCs w:val="24"/>
                <w:lang w:bidi="ar"/>
              </w:rPr>
              <w:t>月</w:t>
            </w:r>
            <w:r>
              <w:rPr>
                <w:rFonts w:hint="eastAsia" w:eastAsia="宋体" w:cs="Times New Roman"/>
                <w:color w:val="0000FF"/>
                <w:szCs w:val="24"/>
                <w:lang w:bidi="ar"/>
              </w:rPr>
              <w:t>完成环保竣工验收。基于本项目</w:t>
            </w:r>
            <w:r>
              <w:rPr>
                <w:rFonts w:hint="eastAsia"/>
                <w:color w:val="0000FF"/>
              </w:rPr>
              <w:t>与楚雄利盈医疗废物处理有限公司已签订的医疗废物处置合同即将到期，环评要求建设单位与</w:t>
            </w:r>
            <w:r>
              <w:rPr>
                <w:rFonts w:hint="eastAsia" w:ascii="宋体" w:hAnsi="宋体"/>
                <w:color w:val="0000FF"/>
                <w:szCs w:val="24"/>
              </w:rPr>
              <w:t>姚安县卫生健康局或有相关医疗废物清运处置资质的单位尽快签订新的医疗废物清运处置协议，做好目前合同到期后的衔接工作，避免医疗废物长时间滞留在项目区，违反</w:t>
            </w:r>
            <w:r>
              <w:rPr>
                <w:rFonts w:hint="eastAsia"/>
                <w:color w:val="0000FF"/>
              </w:rPr>
              <w:t>《医疗废物管理条例》及《医疗卫生机构医疗废物管理办法》中的相关规定，</w:t>
            </w:r>
            <w:r>
              <w:rPr>
                <w:rFonts w:hint="eastAsia" w:ascii="宋体" w:hAnsi="宋体"/>
                <w:color w:val="0000FF"/>
                <w:szCs w:val="24"/>
              </w:rPr>
              <w:t>造成环境污染。</w:t>
            </w:r>
          </w:p>
          <w:p>
            <w:pPr>
              <w:ind w:firstLine="480"/>
            </w:pP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rFonts w:hint="eastAsia"/>
              </w:rPr>
              <w:t>生活垃圾异味</w:t>
            </w:r>
          </w:p>
          <w:p>
            <w:pPr>
              <w:ind w:firstLine="480"/>
            </w:pPr>
            <w:r>
              <w:t>生活垃圾中含有各类易发酵的有机物，尤其是在气温较高时，如果管理处置不当，生活垃圾在堆存、压装、运输过程中会散发出较难闻的恶臭气体</w:t>
            </w:r>
            <w:r>
              <w:rPr>
                <w:rFonts w:hint="eastAsia"/>
              </w:rPr>
              <w:t>。目前医院生活通过垃圾桶收集后统一投掷垃圾箱内，垃圾箱平时处于密封，垃圾根据实际产生量1至2天由环卫部门清运，生活垃圾异味产生量很少，对周围环境影响较小。</w:t>
            </w:r>
          </w:p>
          <w:p>
            <w:pPr>
              <w:pStyle w:val="33"/>
              <w:ind w:firstLine="482"/>
            </w:pPr>
            <w:r>
              <w:t>2</w:t>
            </w:r>
            <w:r>
              <w:rPr>
                <w:rFonts w:hint="eastAsia"/>
              </w:rPr>
              <w:t>、废水</w:t>
            </w:r>
          </w:p>
          <w:p>
            <w:pPr>
              <w:ind w:firstLine="482"/>
              <w:rPr>
                <w:b/>
              </w:rPr>
            </w:pPr>
            <w:r>
              <w:rPr>
                <w:rFonts w:hint="eastAsia"/>
                <w:b/>
              </w:rPr>
              <w:t>（1）废水产生量</w:t>
            </w:r>
          </w:p>
          <w:p>
            <w:pPr>
              <w:ind w:firstLine="480"/>
            </w:pPr>
            <w:r>
              <w:rPr>
                <w:rFonts w:hint="eastAsia"/>
              </w:rPr>
              <w:t>本卫生院不设传染科、牙科、医学影像科，无传染病医院污水及</w:t>
            </w:r>
            <w:r>
              <w:rPr>
                <w:rFonts w:eastAsia="宋体" w:cs="Times New Roman"/>
                <w:szCs w:val="24"/>
              </w:rPr>
              <w:t>显影</w:t>
            </w:r>
            <w:r>
              <w:rPr>
                <w:rFonts w:hint="eastAsia" w:eastAsia="宋体" w:cs="Times New Roman"/>
                <w:szCs w:val="24"/>
              </w:rPr>
              <w:t>废</w:t>
            </w:r>
            <w:r>
              <w:rPr>
                <w:rFonts w:eastAsia="宋体" w:cs="Times New Roman"/>
                <w:szCs w:val="24"/>
              </w:rPr>
              <w:t>液</w:t>
            </w:r>
            <w:r>
              <w:rPr>
                <w:rFonts w:hint="eastAsia"/>
              </w:rPr>
              <w:t>排放</w:t>
            </w:r>
            <w:r>
              <w:rPr>
                <w:rFonts w:hint="eastAsia" w:eastAsia="宋体" w:cs="Times New Roman"/>
                <w:szCs w:val="24"/>
              </w:rPr>
              <w:t>。</w:t>
            </w:r>
            <w:r>
              <w:rPr>
                <w:rFonts w:hint="eastAsia" w:eastAsia="宋体" w:cs="Times New Roman"/>
                <w:bCs/>
              </w:rPr>
              <w:t>项目的废水主要为生活废水和医疗废水。</w:t>
            </w:r>
          </w:p>
          <w:p>
            <w:pPr>
              <w:ind w:firstLine="482"/>
              <w:rPr>
                <w:rFonts w:hAnsi="宋体" w:eastAsia="宋体" w:cs="Times New Roman"/>
                <w:b/>
                <w:bCs/>
              </w:rPr>
            </w:pPr>
            <w:r>
              <w:rPr>
                <w:rFonts w:hAnsi="宋体" w:eastAsia="宋体" w:cs="Times New Roman"/>
                <w:b/>
                <w:bCs/>
              </w:rPr>
              <w:fldChar w:fldCharType="begin"/>
            </w:r>
            <w:r>
              <w:rPr>
                <w:rFonts w:hAnsi="宋体" w:eastAsia="宋体" w:cs="Times New Roman"/>
                <w:b/>
                <w:bCs/>
              </w:rPr>
              <w:instrText xml:space="preserve"> </w:instrText>
            </w:r>
            <w:r>
              <w:rPr>
                <w:rFonts w:hint="eastAsia" w:hAnsi="宋体" w:eastAsia="宋体" w:cs="Times New Roman"/>
                <w:b/>
                <w:bCs/>
              </w:rPr>
              <w:instrText xml:space="preserve">= 1 \* GB3</w:instrText>
            </w:r>
            <w:r>
              <w:rPr>
                <w:rFonts w:hAnsi="宋体" w:eastAsia="宋体" w:cs="Times New Roman"/>
                <w:b/>
                <w:bCs/>
              </w:rPr>
              <w:instrText xml:space="preserve"> </w:instrText>
            </w:r>
            <w:r>
              <w:rPr>
                <w:rFonts w:hAnsi="宋体" w:eastAsia="宋体" w:cs="Times New Roman"/>
                <w:b/>
                <w:bCs/>
              </w:rPr>
              <w:fldChar w:fldCharType="separate"/>
            </w:r>
            <w:r>
              <w:rPr>
                <w:rFonts w:hint="eastAsia" w:hAnsi="宋体" w:eastAsia="宋体" w:cs="Times New Roman"/>
                <w:b/>
                <w:bCs/>
              </w:rPr>
              <w:t>①</w:t>
            </w:r>
            <w:r>
              <w:rPr>
                <w:rFonts w:hAnsi="宋体" w:eastAsia="宋体" w:cs="Times New Roman"/>
                <w:b/>
                <w:bCs/>
              </w:rPr>
              <w:fldChar w:fldCharType="end"/>
            </w:r>
            <w:r>
              <w:rPr>
                <w:rFonts w:hint="eastAsia" w:hAnsi="宋体" w:eastAsia="宋体" w:cs="Times New Roman"/>
                <w:b/>
                <w:bCs/>
              </w:rPr>
              <w:t>医疗废水</w:t>
            </w:r>
          </w:p>
          <w:p>
            <w:pPr>
              <w:ind w:firstLine="482"/>
              <w:rPr>
                <w:rFonts w:hAnsi="宋体" w:eastAsia="宋体" w:cs="Times New Roman"/>
                <w:b/>
                <w:bCs/>
              </w:rPr>
            </w:pPr>
            <w:r>
              <w:rPr>
                <w:rFonts w:hAnsi="宋体" w:eastAsia="宋体" w:cs="Times New Roman"/>
                <w:b/>
                <w:bCs/>
              </w:rPr>
              <w:t>A</w:t>
            </w:r>
            <w:r>
              <w:rPr>
                <w:rFonts w:hint="eastAsia" w:hAnsi="宋体" w:eastAsia="宋体" w:cs="Times New Roman"/>
                <w:b/>
                <w:bCs/>
              </w:rPr>
              <w:t>、门诊用水</w:t>
            </w:r>
          </w:p>
          <w:p>
            <w:pPr>
              <w:ind w:firstLine="480"/>
              <w:rPr>
                <w:rFonts w:eastAsia="宋体" w:cs="Times New Roman"/>
              </w:rPr>
            </w:pPr>
            <w:r>
              <w:rPr>
                <w:rFonts w:hint="eastAsia" w:hAnsi="宋体" w:eastAsia="宋体" w:cs="Times New Roman"/>
              </w:rPr>
              <w:t>根据建设单位提供资料显示，卫生院平均接诊人数为7人次/天，</w:t>
            </w:r>
            <w:r>
              <w:rPr>
                <w:rFonts w:hAnsi="宋体" w:eastAsia="宋体" w:cs="Times New Roman"/>
              </w:rPr>
              <w:t>高峰期接待门诊病人数</w:t>
            </w:r>
            <w:r>
              <w:rPr>
                <w:rFonts w:hint="eastAsia" w:hAnsi="宋体" w:eastAsia="宋体" w:cs="Times New Roman"/>
              </w:rPr>
              <w:t>按</w:t>
            </w:r>
            <w:r>
              <w:rPr>
                <w:rFonts w:hint="eastAsia" w:eastAsia="宋体" w:cs="Times New Roman"/>
              </w:rPr>
              <w:t>15</w:t>
            </w:r>
            <w:r>
              <w:rPr>
                <w:rFonts w:hAnsi="宋体" w:eastAsia="宋体" w:cs="Times New Roman"/>
              </w:rPr>
              <w:t>人次</w:t>
            </w:r>
            <w:r>
              <w:rPr>
                <w:rFonts w:eastAsia="宋体" w:cs="Times New Roman"/>
              </w:rPr>
              <w:t>/</w:t>
            </w:r>
            <w:r>
              <w:rPr>
                <w:rFonts w:hAnsi="宋体" w:eastAsia="宋体" w:cs="Times New Roman"/>
              </w:rPr>
              <w:t>日</w:t>
            </w:r>
            <w:r>
              <w:rPr>
                <w:rFonts w:hint="eastAsia" w:hAnsi="宋体" w:eastAsia="宋体" w:cs="Times New Roman"/>
              </w:rPr>
              <w:t>。</w:t>
            </w:r>
            <w:r>
              <w:rPr>
                <w:rFonts w:hAnsi="宋体" w:eastAsia="宋体" w:cs="Times New Roman"/>
                <w:iCs/>
                <w:szCs w:val="24"/>
              </w:rPr>
              <w:t>根据《云南省地方用水定额》（</w:t>
            </w:r>
            <w:r>
              <w:rPr>
                <w:rFonts w:eastAsia="宋体" w:cs="Times New Roman"/>
                <w:iCs/>
                <w:szCs w:val="24"/>
              </w:rPr>
              <w:t>DB53</w:t>
            </w:r>
            <w:r>
              <w:rPr>
                <w:rFonts w:hint="eastAsia" w:eastAsia="宋体" w:cs="Times New Roman"/>
                <w:iCs/>
                <w:szCs w:val="24"/>
              </w:rPr>
              <w:t>/</w:t>
            </w:r>
            <w:r>
              <w:rPr>
                <w:rFonts w:eastAsia="宋体" w:cs="Times New Roman"/>
                <w:iCs/>
                <w:szCs w:val="24"/>
              </w:rPr>
              <w:t>T 168─201</w:t>
            </w:r>
            <w:r>
              <w:rPr>
                <w:rFonts w:hint="eastAsia" w:eastAsia="宋体" w:cs="Times New Roman"/>
                <w:iCs/>
                <w:szCs w:val="24"/>
              </w:rPr>
              <w:t>9</w:t>
            </w:r>
            <w:r>
              <w:rPr>
                <w:rFonts w:hAnsi="宋体" w:eastAsia="宋体" w:cs="Times New Roman"/>
                <w:iCs/>
                <w:szCs w:val="24"/>
              </w:rPr>
              <w:t>）中的规定，卫生所用水量按</w:t>
            </w:r>
            <w:r>
              <w:rPr>
                <w:rFonts w:eastAsia="宋体" w:cs="Times New Roman"/>
                <w:iCs/>
                <w:szCs w:val="24"/>
              </w:rPr>
              <w:t>15L/</w:t>
            </w:r>
            <w:r>
              <w:rPr>
                <w:rFonts w:hAnsi="宋体" w:eastAsia="宋体" w:cs="Times New Roman"/>
                <w:iCs/>
                <w:szCs w:val="24"/>
              </w:rPr>
              <w:t>（人</w:t>
            </w:r>
            <w:r>
              <w:rPr>
                <w:rFonts w:eastAsia="宋体" w:cs="Times New Roman"/>
                <w:iCs/>
                <w:szCs w:val="24"/>
              </w:rPr>
              <w:t>·</w:t>
            </w:r>
            <w:r>
              <w:rPr>
                <w:rFonts w:hAnsi="宋体" w:eastAsia="宋体" w:cs="Times New Roman"/>
                <w:iCs/>
                <w:szCs w:val="24"/>
              </w:rPr>
              <w:t>次）计</w:t>
            </w:r>
            <w:r>
              <w:rPr>
                <w:rFonts w:hint="eastAsia" w:hAnsi="宋体" w:eastAsia="宋体" w:cs="Times New Roman"/>
                <w:iCs/>
                <w:szCs w:val="24"/>
              </w:rPr>
              <w:t>（含行政及医护人员、附属设施等综合用水）</w:t>
            </w:r>
            <w:r>
              <w:rPr>
                <w:rFonts w:hAnsi="宋体" w:eastAsia="宋体" w:cs="Times New Roman"/>
              </w:rPr>
              <w:t>，则</w:t>
            </w:r>
            <w:r>
              <w:rPr>
                <w:rFonts w:hint="eastAsia" w:hAnsi="宋体" w:eastAsia="宋体" w:cs="Times New Roman"/>
              </w:rPr>
              <w:t>门诊</w:t>
            </w:r>
            <w:r>
              <w:rPr>
                <w:rFonts w:hAnsi="宋体" w:eastAsia="宋体" w:cs="Times New Roman"/>
              </w:rPr>
              <w:t>用水量为</w:t>
            </w:r>
            <w:r>
              <w:rPr>
                <w:rFonts w:hint="eastAsia" w:eastAsia="宋体" w:cs="Times New Roman"/>
              </w:rPr>
              <w:t>0.7</w:t>
            </w:r>
            <w:r>
              <w:rPr>
                <w:rFonts w:eastAsia="宋体" w:cs="Times New Roman"/>
              </w:rPr>
              <w:t>m</w:t>
            </w:r>
            <w:r>
              <w:rPr>
                <w:rFonts w:eastAsia="宋体" w:cs="Times New Roman"/>
                <w:vertAlign w:val="superscript"/>
              </w:rPr>
              <w:t>3</w:t>
            </w:r>
            <w:r>
              <w:rPr>
                <w:rFonts w:eastAsia="宋体" w:cs="Times New Roman"/>
              </w:rPr>
              <w:t>/d</w:t>
            </w:r>
            <w:r>
              <w:rPr>
                <w:rFonts w:hAnsi="宋体" w:eastAsia="宋体" w:cs="Times New Roman"/>
              </w:rPr>
              <w:t>，约</w:t>
            </w:r>
            <w:r>
              <w:rPr>
                <w:rFonts w:hint="eastAsia" w:eastAsia="宋体" w:cs="Times New Roman"/>
              </w:rPr>
              <w:t>255.5</w:t>
            </w:r>
            <w:r>
              <w:rPr>
                <w:rFonts w:eastAsia="宋体" w:cs="Times New Roman"/>
              </w:rPr>
              <w:t>m</w:t>
            </w:r>
            <w:r>
              <w:rPr>
                <w:rFonts w:eastAsia="宋体" w:cs="Times New Roman"/>
                <w:vertAlign w:val="superscript"/>
              </w:rPr>
              <w:t>3</w:t>
            </w:r>
            <w:r>
              <w:rPr>
                <w:rFonts w:eastAsia="宋体" w:cs="Times New Roman"/>
              </w:rPr>
              <w:t>/a</w:t>
            </w:r>
            <w:r>
              <w:rPr>
                <w:rFonts w:hAnsi="宋体" w:eastAsia="宋体" w:cs="Times New Roman"/>
              </w:rPr>
              <w:t>，</w:t>
            </w:r>
            <w:r>
              <w:rPr>
                <w:rFonts w:hAnsi="宋体" w:eastAsia="宋体" w:cs="Times New Roman"/>
                <w:szCs w:val="24"/>
              </w:rPr>
              <w:t>污水产生系数按</w:t>
            </w:r>
            <w:r>
              <w:rPr>
                <w:rFonts w:eastAsia="宋体" w:cs="Times New Roman"/>
                <w:szCs w:val="24"/>
              </w:rPr>
              <w:t>0.8</w:t>
            </w:r>
            <w:r>
              <w:rPr>
                <w:rFonts w:hAnsi="宋体" w:eastAsia="宋体" w:cs="Times New Roman"/>
                <w:szCs w:val="24"/>
              </w:rPr>
              <w:t>计算，</w:t>
            </w:r>
            <w:r>
              <w:rPr>
                <w:rFonts w:hAnsi="宋体" w:eastAsia="宋体" w:cs="Times New Roman"/>
              </w:rPr>
              <w:t>废水量为</w:t>
            </w:r>
            <w:r>
              <w:rPr>
                <w:rFonts w:hint="eastAsia" w:eastAsia="宋体" w:cs="Times New Roman"/>
              </w:rPr>
              <w:t>0.56</w:t>
            </w:r>
            <w:r>
              <w:rPr>
                <w:rFonts w:eastAsia="宋体" w:cs="Times New Roman"/>
              </w:rPr>
              <w:t>m</w:t>
            </w:r>
            <w:r>
              <w:rPr>
                <w:rFonts w:eastAsia="宋体" w:cs="Times New Roman"/>
                <w:vertAlign w:val="superscript"/>
              </w:rPr>
              <w:t>3</w:t>
            </w:r>
            <w:r>
              <w:rPr>
                <w:rFonts w:eastAsia="宋体" w:cs="Times New Roman"/>
              </w:rPr>
              <w:t>/d</w:t>
            </w:r>
            <w:r>
              <w:rPr>
                <w:rFonts w:hAnsi="宋体" w:eastAsia="宋体" w:cs="Times New Roman"/>
              </w:rPr>
              <w:t>，约</w:t>
            </w:r>
            <w:r>
              <w:rPr>
                <w:rFonts w:hint="eastAsia" w:eastAsia="宋体" w:cs="Times New Roman"/>
              </w:rPr>
              <w:t>204.4</w:t>
            </w:r>
            <w:r>
              <w:rPr>
                <w:rFonts w:eastAsia="宋体" w:cs="Times New Roman"/>
              </w:rPr>
              <w:t>m</w:t>
            </w:r>
            <w:r>
              <w:rPr>
                <w:rFonts w:eastAsia="宋体" w:cs="Times New Roman"/>
                <w:vertAlign w:val="superscript"/>
              </w:rPr>
              <w:t>3</w:t>
            </w:r>
            <w:r>
              <w:rPr>
                <w:rFonts w:eastAsia="宋体" w:cs="Times New Roman"/>
              </w:rPr>
              <w:t>/a</w:t>
            </w:r>
            <w:r>
              <w:rPr>
                <w:rFonts w:hAnsi="宋体" w:eastAsia="宋体" w:cs="Times New Roman"/>
                <w:szCs w:val="24"/>
              </w:rPr>
              <w:t>。</w:t>
            </w:r>
          </w:p>
          <w:p>
            <w:pPr>
              <w:ind w:firstLine="482"/>
              <w:rPr>
                <w:rFonts w:hAnsi="宋体" w:eastAsia="宋体" w:cs="Times New Roman"/>
                <w:b/>
                <w:bCs/>
              </w:rPr>
            </w:pPr>
            <w:r>
              <w:rPr>
                <w:rFonts w:hint="eastAsia" w:hAnsi="宋体" w:eastAsia="宋体" w:cs="Times New Roman"/>
                <w:b/>
                <w:bCs/>
              </w:rPr>
              <w:t>B、住院用水</w:t>
            </w:r>
          </w:p>
          <w:p>
            <w:pPr>
              <w:ind w:firstLine="480"/>
              <w:rPr>
                <w:rFonts w:hAnsi="宋体" w:eastAsia="宋体" w:cs="Times New Roman"/>
              </w:rPr>
            </w:pPr>
            <w:r>
              <w:rPr>
                <w:rFonts w:hint="eastAsia" w:ascii="宋体" w:hAnsi="宋体" w:eastAsia="宋体" w:cs="宋体"/>
                <w:kern w:val="0"/>
                <w:szCs w:val="24"/>
                <w:lang w:bidi="ar"/>
              </w:rPr>
              <w:t>根据2021年9月29日姚安县卫生健康局出具的“姚安县龙岗卫生院关于住院床位数的说明”（见附件3）。</w:t>
            </w:r>
            <w:r>
              <w:rPr>
                <w:rFonts w:hint="eastAsia" w:hAnsi="宋体" w:eastAsia="宋体" w:cs="Times New Roman"/>
              </w:rPr>
              <w:t>项目共设置72张床位，</w:t>
            </w:r>
            <w:r>
              <w:rPr>
                <w:rFonts w:hAnsi="宋体" w:eastAsia="宋体" w:cs="Times New Roman"/>
                <w:iCs/>
                <w:szCs w:val="24"/>
              </w:rPr>
              <w:t>根据《云南省地方用水定额》（</w:t>
            </w:r>
            <w:r>
              <w:rPr>
                <w:rFonts w:eastAsia="宋体" w:cs="Times New Roman"/>
                <w:iCs/>
                <w:szCs w:val="24"/>
              </w:rPr>
              <w:t>DB53</w:t>
            </w:r>
            <w:r>
              <w:rPr>
                <w:rFonts w:hint="eastAsia" w:eastAsia="宋体" w:cs="Times New Roman"/>
                <w:iCs/>
                <w:szCs w:val="24"/>
              </w:rPr>
              <w:t>/</w:t>
            </w:r>
            <w:r>
              <w:rPr>
                <w:rFonts w:eastAsia="宋体" w:cs="Times New Roman"/>
                <w:iCs/>
                <w:szCs w:val="24"/>
              </w:rPr>
              <w:t>T 168─201</w:t>
            </w:r>
            <w:r>
              <w:rPr>
                <w:rFonts w:hint="eastAsia" w:eastAsia="宋体" w:cs="Times New Roman"/>
                <w:iCs/>
                <w:szCs w:val="24"/>
              </w:rPr>
              <w:t>9</w:t>
            </w:r>
            <w:r>
              <w:rPr>
                <w:rFonts w:hAnsi="宋体" w:eastAsia="宋体" w:cs="Times New Roman"/>
                <w:iCs/>
                <w:szCs w:val="24"/>
              </w:rPr>
              <w:t>）中的规定，</w:t>
            </w:r>
            <w:r>
              <w:rPr>
                <w:rFonts w:hint="eastAsia" w:hAnsi="宋体" w:eastAsia="宋体" w:cs="Times New Roman"/>
                <w:iCs/>
                <w:szCs w:val="24"/>
              </w:rPr>
              <w:t>住院部病房内不带洗浴</w:t>
            </w:r>
            <w:r>
              <w:rPr>
                <w:rFonts w:hAnsi="宋体" w:eastAsia="宋体" w:cs="Times New Roman"/>
                <w:iCs/>
                <w:szCs w:val="24"/>
              </w:rPr>
              <w:t>用水量按</w:t>
            </w:r>
            <w:r>
              <w:rPr>
                <w:rFonts w:eastAsia="宋体" w:cs="Times New Roman"/>
                <w:iCs/>
                <w:szCs w:val="24"/>
              </w:rPr>
              <w:t>15</w:t>
            </w:r>
            <w:r>
              <w:rPr>
                <w:rFonts w:hint="eastAsia" w:eastAsia="宋体" w:cs="Times New Roman"/>
                <w:iCs/>
                <w:szCs w:val="24"/>
              </w:rPr>
              <w:t>0</w:t>
            </w:r>
            <w:r>
              <w:rPr>
                <w:rFonts w:eastAsia="宋体" w:cs="Times New Roman"/>
                <w:iCs/>
                <w:szCs w:val="24"/>
              </w:rPr>
              <w:t>L/</w:t>
            </w:r>
            <w:r>
              <w:rPr>
                <w:rFonts w:hAnsi="宋体" w:eastAsia="宋体" w:cs="Times New Roman"/>
                <w:iCs/>
                <w:szCs w:val="24"/>
              </w:rPr>
              <w:t>（</w:t>
            </w:r>
            <w:r>
              <w:rPr>
                <w:rFonts w:hint="eastAsia" w:hAnsi="宋体" w:eastAsia="宋体" w:cs="Times New Roman"/>
                <w:iCs/>
                <w:szCs w:val="24"/>
              </w:rPr>
              <w:t>床</w:t>
            </w:r>
            <w:r>
              <w:rPr>
                <w:rFonts w:eastAsia="宋体" w:cs="Times New Roman"/>
                <w:iCs/>
                <w:szCs w:val="24"/>
              </w:rPr>
              <w:t>·</w:t>
            </w:r>
            <w:r>
              <w:rPr>
                <w:rFonts w:hint="eastAsia" w:eastAsia="宋体" w:cs="Times New Roman"/>
                <w:iCs/>
                <w:szCs w:val="24"/>
              </w:rPr>
              <w:t>d</w:t>
            </w:r>
            <w:r>
              <w:rPr>
                <w:rFonts w:hAnsi="宋体" w:eastAsia="宋体" w:cs="Times New Roman"/>
                <w:iCs/>
                <w:szCs w:val="24"/>
              </w:rPr>
              <w:t>）计</w:t>
            </w:r>
            <w:r>
              <w:rPr>
                <w:rFonts w:hint="eastAsia" w:hAnsi="宋体" w:eastAsia="宋体" w:cs="Times New Roman"/>
                <w:iCs/>
                <w:szCs w:val="24"/>
              </w:rPr>
              <w:t>（含行政及医护人员、附属设施等综合用水），</w:t>
            </w:r>
            <w:r>
              <w:rPr>
                <w:rFonts w:hAnsi="宋体" w:eastAsia="宋体" w:cs="Times New Roman"/>
                <w:szCs w:val="24"/>
              </w:rPr>
              <w:t>则</w:t>
            </w:r>
            <w:r>
              <w:rPr>
                <w:rFonts w:hint="eastAsia" w:hAnsi="宋体" w:eastAsia="宋体" w:cs="Times New Roman"/>
                <w:szCs w:val="24"/>
              </w:rPr>
              <w:t>病床</w:t>
            </w:r>
            <w:r>
              <w:rPr>
                <w:rFonts w:hAnsi="宋体" w:eastAsia="宋体" w:cs="Times New Roman"/>
                <w:szCs w:val="24"/>
              </w:rPr>
              <w:t>用水量为</w:t>
            </w:r>
            <w:r>
              <w:rPr>
                <w:rFonts w:hint="eastAsia" w:eastAsia="宋体" w:cs="Times New Roman"/>
                <w:szCs w:val="24"/>
              </w:rPr>
              <w:t>10.8</w:t>
            </w:r>
            <w:r>
              <w:rPr>
                <w:rFonts w:eastAsia="宋体" w:cs="Times New Roman"/>
                <w:szCs w:val="24"/>
              </w:rPr>
              <w:t>m</w:t>
            </w:r>
            <w:r>
              <w:rPr>
                <w:rFonts w:eastAsia="宋体" w:cs="Times New Roman"/>
                <w:szCs w:val="24"/>
                <w:vertAlign w:val="superscript"/>
              </w:rPr>
              <w:t>3</w:t>
            </w:r>
            <w:r>
              <w:rPr>
                <w:rFonts w:eastAsia="宋体" w:cs="Times New Roman"/>
                <w:szCs w:val="24"/>
              </w:rPr>
              <w:t>/d</w:t>
            </w:r>
            <w:r>
              <w:rPr>
                <w:rFonts w:hAnsi="宋体" w:eastAsia="宋体" w:cs="Times New Roman"/>
                <w:szCs w:val="24"/>
              </w:rPr>
              <w:t>，</w:t>
            </w:r>
            <w:r>
              <w:rPr>
                <w:rFonts w:hint="eastAsia" w:eastAsia="宋体" w:cs="Times New Roman"/>
                <w:szCs w:val="24"/>
              </w:rPr>
              <w:t>3942</w:t>
            </w:r>
            <w:r>
              <w:rPr>
                <w:rFonts w:eastAsia="宋体" w:cs="Times New Roman"/>
                <w:szCs w:val="24"/>
              </w:rPr>
              <w:t>m</w:t>
            </w:r>
            <w:r>
              <w:rPr>
                <w:rFonts w:eastAsia="宋体" w:cs="Times New Roman"/>
                <w:szCs w:val="24"/>
                <w:vertAlign w:val="superscript"/>
              </w:rPr>
              <w:t>3</w:t>
            </w:r>
            <w:r>
              <w:rPr>
                <w:rFonts w:eastAsia="宋体" w:cs="Times New Roman"/>
                <w:szCs w:val="24"/>
              </w:rPr>
              <w:t>/a</w:t>
            </w:r>
            <w:r>
              <w:rPr>
                <w:rFonts w:hint="eastAsia" w:eastAsia="宋体" w:cs="Times New Roman"/>
                <w:szCs w:val="24"/>
              </w:rPr>
              <w:t>，</w:t>
            </w:r>
            <w:r>
              <w:rPr>
                <w:rFonts w:hAnsi="宋体" w:eastAsia="宋体" w:cs="Times New Roman"/>
                <w:szCs w:val="24"/>
              </w:rPr>
              <w:t>污水产生系数按</w:t>
            </w:r>
            <w:r>
              <w:rPr>
                <w:rFonts w:eastAsia="宋体" w:cs="Times New Roman"/>
                <w:szCs w:val="24"/>
              </w:rPr>
              <w:t>0.8</w:t>
            </w:r>
            <w:r>
              <w:rPr>
                <w:rFonts w:hAnsi="宋体" w:eastAsia="宋体" w:cs="Times New Roman"/>
                <w:szCs w:val="24"/>
              </w:rPr>
              <w:t>计算，则</w:t>
            </w:r>
            <w:r>
              <w:rPr>
                <w:rFonts w:hint="eastAsia" w:hAnsi="宋体" w:eastAsia="宋体" w:cs="Times New Roman"/>
                <w:szCs w:val="24"/>
              </w:rPr>
              <w:t>病床</w:t>
            </w:r>
            <w:r>
              <w:rPr>
                <w:rFonts w:hAnsi="宋体" w:eastAsia="宋体" w:cs="Times New Roman"/>
                <w:szCs w:val="24"/>
              </w:rPr>
              <w:t>废水量为</w:t>
            </w:r>
            <w:r>
              <w:rPr>
                <w:rFonts w:hint="eastAsia" w:eastAsia="宋体" w:cs="Times New Roman"/>
                <w:szCs w:val="24"/>
              </w:rPr>
              <w:t>8.64</w:t>
            </w:r>
            <w:r>
              <w:rPr>
                <w:rFonts w:eastAsia="宋体" w:cs="Times New Roman"/>
                <w:szCs w:val="24"/>
              </w:rPr>
              <w:t>m</w:t>
            </w:r>
            <w:r>
              <w:rPr>
                <w:rFonts w:eastAsia="宋体" w:cs="Times New Roman"/>
                <w:szCs w:val="24"/>
                <w:vertAlign w:val="superscript"/>
              </w:rPr>
              <w:t>3</w:t>
            </w:r>
            <w:r>
              <w:rPr>
                <w:rFonts w:eastAsia="宋体" w:cs="Times New Roman"/>
                <w:szCs w:val="24"/>
              </w:rPr>
              <w:t>/d</w:t>
            </w:r>
            <w:r>
              <w:rPr>
                <w:rFonts w:hAnsi="宋体" w:eastAsia="宋体" w:cs="Times New Roman"/>
                <w:szCs w:val="24"/>
              </w:rPr>
              <w:t>，</w:t>
            </w:r>
            <w:r>
              <w:rPr>
                <w:rFonts w:hint="eastAsia" w:eastAsia="宋体" w:cs="Times New Roman"/>
                <w:szCs w:val="24"/>
              </w:rPr>
              <w:t>3153.6</w:t>
            </w:r>
            <w:r>
              <w:rPr>
                <w:rFonts w:eastAsia="宋体" w:cs="Times New Roman"/>
                <w:szCs w:val="24"/>
              </w:rPr>
              <w:t>m</w:t>
            </w:r>
            <w:r>
              <w:rPr>
                <w:rFonts w:eastAsia="宋体" w:cs="Times New Roman"/>
                <w:szCs w:val="24"/>
                <w:vertAlign w:val="superscript"/>
              </w:rPr>
              <w:t>3</w:t>
            </w:r>
            <w:r>
              <w:rPr>
                <w:rFonts w:eastAsia="宋体" w:cs="Times New Roman"/>
                <w:szCs w:val="24"/>
              </w:rPr>
              <w:t>/a</w:t>
            </w:r>
            <w:r>
              <w:rPr>
                <w:rFonts w:hint="eastAsia" w:hAnsi="宋体" w:eastAsia="宋体" w:cs="Times New Roman"/>
                <w:szCs w:val="24"/>
              </w:rPr>
              <w:t>。</w:t>
            </w:r>
          </w:p>
          <w:p>
            <w:pPr>
              <w:ind w:firstLine="482"/>
              <w:rPr>
                <w:rFonts w:hAnsi="宋体" w:eastAsia="宋体" w:cs="Times New Roman"/>
                <w:b/>
                <w:bCs/>
              </w:rPr>
            </w:pPr>
            <w:r>
              <w:rPr>
                <w:rFonts w:hint="eastAsia" w:hAnsi="宋体" w:eastAsia="宋体" w:cs="Times New Roman"/>
                <w:b/>
                <w:bCs/>
              </w:rPr>
              <w:t>C、检验室用水</w:t>
            </w:r>
          </w:p>
          <w:p>
            <w:pPr>
              <w:ind w:firstLine="480"/>
            </w:pPr>
            <w:r>
              <w:t>本项目建成使用</w:t>
            </w:r>
            <w:r>
              <w:rPr>
                <w:rFonts w:hint="eastAsia"/>
              </w:rPr>
              <w:t>过程中</w:t>
            </w:r>
            <w:r>
              <w:t>，医院直接购进成套的试剂盒，试剂盒内配有分析和测定所需的全部试剂，使用时直接加入检验设备中，不需自制检验试剂。检验科用水主要是仪器设备及容器清洗用水。根据建设单位提供的资料，检验科用水量约</w:t>
            </w:r>
            <w:r>
              <w:rPr>
                <w:rFonts w:hint="eastAsia"/>
              </w:rPr>
              <w:t>0.1</w:t>
            </w:r>
            <w:r>
              <w:t>m</w:t>
            </w:r>
            <w:r>
              <w:rPr>
                <w:vertAlign w:val="superscript"/>
              </w:rPr>
              <w:t>3</w:t>
            </w:r>
            <w:r>
              <w:t>/d（</w:t>
            </w:r>
            <w:r>
              <w:rPr>
                <w:rFonts w:hint="eastAsia"/>
              </w:rPr>
              <w:t>36.5</w:t>
            </w:r>
            <w:r>
              <w:rPr>
                <w:rFonts w:eastAsia="宋体" w:cs="Times New Roman"/>
                <w:szCs w:val="24"/>
              </w:rPr>
              <w:t xml:space="preserve"> m</w:t>
            </w:r>
            <w:r>
              <w:rPr>
                <w:rFonts w:eastAsia="宋体" w:cs="Times New Roman"/>
                <w:szCs w:val="24"/>
                <w:vertAlign w:val="superscript"/>
              </w:rPr>
              <w:t>3</w:t>
            </w:r>
            <w:r>
              <w:rPr>
                <w:rFonts w:eastAsia="宋体" w:cs="Times New Roman"/>
                <w:szCs w:val="24"/>
              </w:rPr>
              <w:t>/a</w:t>
            </w:r>
            <w:r>
              <w:t>）。污水产生系数按0.</w:t>
            </w:r>
            <w:r>
              <w:rPr>
                <w:rFonts w:hint="eastAsia"/>
              </w:rPr>
              <w:t>8</w:t>
            </w:r>
            <w:r>
              <w:t>计，则检验废液产生量为</w:t>
            </w:r>
            <w:r>
              <w:rPr>
                <w:rFonts w:hint="eastAsia"/>
              </w:rPr>
              <w:t>0.08</w:t>
            </w:r>
            <w:r>
              <w:t>t/d（</w:t>
            </w:r>
            <w:r>
              <w:rPr>
                <w:rFonts w:hint="eastAsia"/>
              </w:rPr>
              <w:t>29.2</w:t>
            </w:r>
            <w:r>
              <w:t>t/a）</w:t>
            </w:r>
            <w:r>
              <w:rPr>
                <w:rFonts w:hint="eastAsia"/>
              </w:rPr>
              <w:t>。目前，建设单位对检验废液采取中和法将检验废水单独用容器收集后中和预处理至pH至7~8后排入医院化粪池。根据《国家危险废物名录（2021年版）》，检验废液属于医废，环评要求建设单位对检验废液采用单独容器收集后暂存于医疗废物暂存间，委托有资质的单位定期清运处置。</w:t>
            </w:r>
          </w:p>
          <w:p>
            <w:pPr>
              <w:ind w:firstLine="482"/>
              <w:rPr>
                <w:rFonts w:hAnsi="宋体" w:eastAsia="宋体" w:cs="Times New Roman"/>
                <w:b/>
                <w:bCs/>
              </w:rPr>
            </w:pPr>
            <w:r>
              <w:rPr>
                <w:rFonts w:hAnsi="宋体" w:eastAsia="宋体" w:cs="Times New Roman"/>
                <w:b/>
                <w:bCs/>
              </w:rPr>
              <w:fldChar w:fldCharType="begin"/>
            </w:r>
            <w:r>
              <w:rPr>
                <w:rFonts w:hAnsi="宋体" w:eastAsia="宋体" w:cs="Times New Roman"/>
                <w:b/>
                <w:bCs/>
              </w:rPr>
              <w:instrText xml:space="preserve"> </w:instrText>
            </w:r>
            <w:r>
              <w:rPr>
                <w:rFonts w:hint="eastAsia" w:hAnsi="宋体" w:eastAsia="宋体" w:cs="Times New Roman"/>
                <w:b/>
                <w:bCs/>
              </w:rPr>
              <w:instrText xml:space="preserve">= 2 \* GB3</w:instrText>
            </w:r>
            <w:r>
              <w:rPr>
                <w:rFonts w:hAnsi="宋体" w:eastAsia="宋体" w:cs="Times New Roman"/>
                <w:b/>
                <w:bCs/>
              </w:rPr>
              <w:instrText xml:space="preserve"> </w:instrText>
            </w:r>
            <w:r>
              <w:rPr>
                <w:rFonts w:hAnsi="宋体" w:eastAsia="宋体" w:cs="Times New Roman"/>
                <w:b/>
                <w:bCs/>
              </w:rPr>
              <w:fldChar w:fldCharType="separate"/>
            </w:r>
            <w:r>
              <w:rPr>
                <w:rFonts w:hint="eastAsia" w:hAnsi="宋体" w:eastAsia="宋体" w:cs="Times New Roman"/>
                <w:b/>
                <w:bCs/>
              </w:rPr>
              <w:t>②</w:t>
            </w:r>
            <w:r>
              <w:rPr>
                <w:rFonts w:hAnsi="宋体" w:eastAsia="宋体" w:cs="Times New Roman"/>
                <w:b/>
                <w:bCs/>
              </w:rPr>
              <w:fldChar w:fldCharType="end"/>
            </w:r>
            <w:r>
              <w:rPr>
                <w:rFonts w:hint="eastAsia" w:hAnsi="宋体" w:eastAsia="宋体" w:cs="Times New Roman"/>
                <w:b/>
                <w:bCs/>
              </w:rPr>
              <w:t>生活污水</w:t>
            </w:r>
          </w:p>
          <w:p>
            <w:pPr>
              <w:ind w:firstLine="480"/>
              <w:rPr>
                <w:rFonts w:ascii="宋体" w:hAnsi="宋体" w:eastAsia="宋体" w:cs="宋体"/>
              </w:rPr>
            </w:pPr>
            <w:r>
              <w:rPr>
                <w:rFonts w:hint="eastAsia" w:ascii="宋体" w:hAnsi="宋体" w:eastAsia="宋体" w:cs="宋体"/>
              </w:rPr>
              <w:t>职工在食堂用餐，不在医院住宿，生活废水主要是食堂用水、入厕及洗漱用水。</w:t>
            </w:r>
          </w:p>
          <w:p>
            <w:pPr>
              <w:numPr>
                <w:ilvl w:val="0"/>
                <w:numId w:val="1"/>
              </w:numPr>
              <w:ind w:firstLine="480"/>
            </w:pPr>
            <w:r>
              <w:rPr>
                <w:rFonts w:hint="eastAsia"/>
              </w:rPr>
              <w:t>卫生院职工：卫生院职工每天最大人数为24人，按每人用水20L</w:t>
            </w:r>
            <w:r>
              <w:rPr>
                <w:rFonts w:hAnsi="宋体"/>
                <w:iCs/>
                <w:szCs w:val="24"/>
              </w:rPr>
              <w:t>（人</w:t>
            </w:r>
            <w:r>
              <w:rPr>
                <w:iCs/>
                <w:szCs w:val="24"/>
              </w:rPr>
              <w:t>·</w:t>
            </w:r>
            <w:r>
              <w:rPr>
                <w:rFonts w:hint="eastAsia" w:hAnsi="宋体"/>
                <w:iCs/>
                <w:szCs w:val="24"/>
              </w:rPr>
              <w:t>d</w:t>
            </w:r>
            <w:r>
              <w:rPr>
                <w:rFonts w:hAnsi="宋体"/>
                <w:iCs/>
                <w:szCs w:val="24"/>
              </w:rPr>
              <w:t>）</w:t>
            </w:r>
            <w:r>
              <w:rPr>
                <w:rFonts w:hint="eastAsia"/>
              </w:rPr>
              <w:t>计，每天最大用水量为0.48m</w:t>
            </w:r>
            <w:r>
              <w:rPr>
                <w:rFonts w:hint="eastAsia"/>
                <w:vertAlign w:val="superscript"/>
              </w:rPr>
              <w:t>3</w:t>
            </w:r>
            <w:r>
              <w:rPr>
                <w:rFonts w:hint="eastAsia"/>
              </w:rPr>
              <w:t>/d（175.2</w:t>
            </w:r>
            <w:r>
              <w:rPr>
                <w:rFonts w:eastAsia="宋体" w:cs="Times New Roman"/>
                <w:szCs w:val="24"/>
              </w:rPr>
              <w:t>m</w:t>
            </w:r>
            <w:r>
              <w:rPr>
                <w:rFonts w:eastAsia="宋体" w:cs="Times New Roman"/>
                <w:szCs w:val="24"/>
                <w:vertAlign w:val="superscript"/>
              </w:rPr>
              <w:t>3</w:t>
            </w:r>
            <w:r>
              <w:rPr>
                <w:rFonts w:eastAsia="宋体" w:cs="Times New Roman"/>
                <w:szCs w:val="24"/>
              </w:rPr>
              <w:t>/a</w:t>
            </w:r>
            <w:r>
              <w:rPr>
                <w:rFonts w:hint="eastAsia"/>
              </w:rPr>
              <w:t>），污水产生系数按0.8计，则污水排放量为0.384m</w:t>
            </w:r>
            <w:r>
              <w:rPr>
                <w:rFonts w:hint="eastAsia"/>
                <w:vertAlign w:val="superscript"/>
              </w:rPr>
              <w:t>3</w:t>
            </w:r>
            <w:r>
              <w:rPr>
                <w:rFonts w:hint="eastAsia"/>
              </w:rPr>
              <w:t>/d（140.16</w:t>
            </w:r>
            <w:r>
              <w:rPr>
                <w:rFonts w:eastAsia="宋体" w:cs="Times New Roman"/>
                <w:szCs w:val="24"/>
              </w:rPr>
              <w:t>m</w:t>
            </w:r>
            <w:r>
              <w:rPr>
                <w:rFonts w:eastAsia="宋体" w:cs="Times New Roman"/>
                <w:szCs w:val="24"/>
                <w:vertAlign w:val="superscript"/>
              </w:rPr>
              <w:t>3</w:t>
            </w:r>
            <w:r>
              <w:rPr>
                <w:rFonts w:eastAsia="宋体" w:cs="Times New Roman"/>
                <w:szCs w:val="24"/>
              </w:rPr>
              <w:t>/a</w:t>
            </w:r>
            <w:r>
              <w:rPr>
                <w:rFonts w:hint="eastAsia"/>
              </w:rPr>
              <w:t>）。</w:t>
            </w:r>
            <w:r>
              <w:rPr>
                <w:rFonts w:hint="eastAsia" w:asciiTheme="minorEastAsia" w:hAnsiTheme="minorEastAsia"/>
                <w:szCs w:val="24"/>
              </w:rPr>
              <w:t>生活污中含油废水经收集后与生活垃圾一同处理，占总污水量的10%，含油废水产生量</w:t>
            </w:r>
            <w:r>
              <w:rPr>
                <w:rFonts w:asciiTheme="minorEastAsia" w:hAnsiTheme="minorEastAsia"/>
                <w:szCs w:val="24"/>
              </w:rPr>
              <w:t>为</w:t>
            </w:r>
            <w:r>
              <w:rPr>
                <w:rFonts w:hint="eastAsia" w:asciiTheme="minorEastAsia" w:hAnsiTheme="minorEastAsia"/>
                <w:szCs w:val="24"/>
              </w:rPr>
              <w:t>0.038m</w:t>
            </w:r>
            <w:r>
              <w:rPr>
                <w:rFonts w:hint="eastAsia" w:asciiTheme="minorEastAsia" w:hAnsiTheme="minorEastAsia"/>
                <w:szCs w:val="24"/>
                <w:vertAlign w:val="superscript"/>
              </w:rPr>
              <w:t>3</w:t>
            </w:r>
            <w:r>
              <w:rPr>
                <w:rFonts w:asciiTheme="minorEastAsia" w:hAnsiTheme="minorEastAsia"/>
                <w:szCs w:val="24"/>
              </w:rPr>
              <w:t>/d</w:t>
            </w:r>
            <w:r>
              <w:rPr>
                <w:rFonts w:hint="eastAsia" w:asciiTheme="minorEastAsia" w:hAnsiTheme="minorEastAsia"/>
                <w:szCs w:val="24"/>
              </w:rPr>
              <w:t>，13.87m</w:t>
            </w:r>
            <w:r>
              <w:rPr>
                <w:rFonts w:hint="eastAsia" w:asciiTheme="minorEastAsia" w:hAnsiTheme="minorEastAsia"/>
                <w:szCs w:val="24"/>
                <w:vertAlign w:val="superscript"/>
              </w:rPr>
              <w:t>3</w:t>
            </w:r>
            <w:r>
              <w:rPr>
                <w:rFonts w:asciiTheme="minorEastAsia" w:hAnsiTheme="minorEastAsia"/>
                <w:szCs w:val="24"/>
              </w:rPr>
              <w:t>/a</w:t>
            </w:r>
            <w:r>
              <w:rPr>
                <w:rFonts w:hint="eastAsia" w:asciiTheme="minorEastAsia" w:hAnsiTheme="minorEastAsia"/>
                <w:szCs w:val="24"/>
              </w:rPr>
              <w:t>；剩余生活污水产生量</w:t>
            </w:r>
            <w:r>
              <w:rPr>
                <w:rFonts w:asciiTheme="minorEastAsia" w:hAnsiTheme="minorEastAsia"/>
                <w:szCs w:val="24"/>
              </w:rPr>
              <w:t>为</w:t>
            </w:r>
            <w:r>
              <w:rPr>
                <w:rFonts w:hint="eastAsia" w:asciiTheme="minorEastAsia" w:hAnsiTheme="minorEastAsia"/>
                <w:szCs w:val="24"/>
              </w:rPr>
              <w:t>0.346m</w:t>
            </w:r>
            <w:r>
              <w:rPr>
                <w:rFonts w:hint="eastAsia" w:asciiTheme="minorEastAsia" w:hAnsiTheme="minorEastAsia"/>
                <w:szCs w:val="24"/>
                <w:vertAlign w:val="superscript"/>
              </w:rPr>
              <w:t>3</w:t>
            </w:r>
            <w:r>
              <w:rPr>
                <w:rFonts w:asciiTheme="minorEastAsia" w:hAnsiTheme="minorEastAsia"/>
                <w:szCs w:val="24"/>
              </w:rPr>
              <w:t>/d</w:t>
            </w:r>
            <w:r>
              <w:rPr>
                <w:rFonts w:hint="eastAsia" w:asciiTheme="minorEastAsia" w:hAnsiTheme="minorEastAsia"/>
                <w:szCs w:val="24"/>
              </w:rPr>
              <w:t>，126.29m</w:t>
            </w:r>
            <w:r>
              <w:rPr>
                <w:rFonts w:hint="eastAsia" w:asciiTheme="minorEastAsia" w:hAnsiTheme="minorEastAsia"/>
                <w:szCs w:val="24"/>
                <w:vertAlign w:val="superscript"/>
              </w:rPr>
              <w:t>3</w:t>
            </w:r>
            <w:r>
              <w:rPr>
                <w:rFonts w:asciiTheme="minorEastAsia" w:hAnsiTheme="minorEastAsia"/>
                <w:szCs w:val="24"/>
              </w:rPr>
              <w:t>/a</w:t>
            </w:r>
            <w:r>
              <w:rPr>
                <w:rFonts w:hint="eastAsia" w:asciiTheme="minorEastAsia" w:hAnsiTheme="minorEastAsia"/>
                <w:szCs w:val="24"/>
              </w:rPr>
              <w:t>经化粪池处理后进入一体化污水处理站处理</w:t>
            </w:r>
            <w:r>
              <w:rPr>
                <w:rFonts w:hint="eastAsia" w:asciiTheme="minorEastAsia" w:hAnsiTheme="minorEastAsia"/>
                <w:bCs/>
                <w:szCs w:val="24"/>
              </w:rPr>
              <w:t>。</w:t>
            </w:r>
          </w:p>
          <w:p>
            <w:pPr>
              <w:numPr>
                <w:ilvl w:val="0"/>
                <w:numId w:val="1"/>
              </w:numPr>
              <w:ind w:firstLine="480"/>
            </w:pPr>
            <w:r>
              <w:rPr>
                <w:rFonts w:hint="eastAsia"/>
              </w:rPr>
              <w:t>患者：按住院床位满负荷计加陪护人员，每天最大人数为144人（72+72），按每人用水20L</w:t>
            </w:r>
            <w:r>
              <w:rPr>
                <w:rFonts w:hAnsi="宋体"/>
                <w:iCs/>
                <w:szCs w:val="24"/>
              </w:rPr>
              <w:t>（人</w:t>
            </w:r>
            <w:r>
              <w:rPr>
                <w:iCs/>
                <w:szCs w:val="24"/>
              </w:rPr>
              <w:t>·</w:t>
            </w:r>
            <w:r>
              <w:rPr>
                <w:rFonts w:hint="eastAsia" w:hAnsi="宋体"/>
                <w:iCs/>
                <w:szCs w:val="24"/>
              </w:rPr>
              <w:t>d</w:t>
            </w:r>
            <w:r>
              <w:rPr>
                <w:rFonts w:hAnsi="宋体"/>
                <w:iCs/>
                <w:szCs w:val="24"/>
              </w:rPr>
              <w:t>）</w:t>
            </w:r>
            <w:r>
              <w:rPr>
                <w:rFonts w:hint="eastAsia"/>
              </w:rPr>
              <w:t>计，每天最大用水量为2.88m</w:t>
            </w:r>
            <w:r>
              <w:rPr>
                <w:rFonts w:hint="eastAsia"/>
                <w:vertAlign w:val="superscript"/>
              </w:rPr>
              <w:t>3</w:t>
            </w:r>
            <w:r>
              <w:rPr>
                <w:rFonts w:hint="eastAsia"/>
              </w:rPr>
              <w:t>/d（1051.2</w:t>
            </w:r>
            <w:r>
              <w:rPr>
                <w:rFonts w:eastAsia="宋体" w:cs="Times New Roman"/>
                <w:szCs w:val="24"/>
              </w:rPr>
              <w:t>m</w:t>
            </w:r>
            <w:r>
              <w:rPr>
                <w:rFonts w:eastAsia="宋体" w:cs="Times New Roman"/>
                <w:szCs w:val="24"/>
                <w:vertAlign w:val="superscript"/>
              </w:rPr>
              <w:t>3</w:t>
            </w:r>
            <w:r>
              <w:rPr>
                <w:rFonts w:eastAsia="宋体" w:cs="Times New Roman"/>
                <w:szCs w:val="24"/>
              </w:rPr>
              <w:t>/a</w:t>
            </w:r>
            <w:r>
              <w:rPr>
                <w:rFonts w:hint="eastAsia"/>
              </w:rPr>
              <w:t>），污水产生系数按0.8计，则污水排放量为2.304m</w:t>
            </w:r>
            <w:r>
              <w:rPr>
                <w:rFonts w:hint="eastAsia"/>
                <w:vertAlign w:val="superscript"/>
              </w:rPr>
              <w:t>3</w:t>
            </w:r>
            <w:r>
              <w:rPr>
                <w:rFonts w:hint="eastAsia"/>
              </w:rPr>
              <w:t>/d（840.96</w:t>
            </w:r>
            <w:r>
              <w:rPr>
                <w:rFonts w:eastAsia="宋体" w:cs="Times New Roman"/>
                <w:szCs w:val="24"/>
              </w:rPr>
              <w:t>m</w:t>
            </w:r>
            <w:r>
              <w:rPr>
                <w:rFonts w:eastAsia="宋体" w:cs="Times New Roman"/>
                <w:szCs w:val="24"/>
                <w:vertAlign w:val="superscript"/>
              </w:rPr>
              <w:t>3</w:t>
            </w:r>
            <w:r>
              <w:rPr>
                <w:rFonts w:eastAsia="宋体" w:cs="Times New Roman"/>
                <w:szCs w:val="24"/>
              </w:rPr>
              <w:t>/a</w:t>
            </w:r>
            <w:r>
              <w:rPr>
                <w:rFonts w:hint="eastAsia"/>
              </w:rPr>
              <w:t>）。</w:t>
            </w:r>
            <w:r>
              <w:rPr>
                <w:rFonts w:hint="eastAsia" w:asciiTheme="minorEastAsia" w:hAnsiTheme="minorEastAsia"/>
                <w:szCs w:val="24"/>
              </w:rPr>
              <w:t>生活污中含油废水经收集后与生活垃圾一同处理，占总污水量的10%，含油废水产生量</w:t>
            </w:r>
            <w:r>
              <w:rPr>
                <w:rFonts w:asciiTheme="minorEastAsia" w:hAnsiTheme="minorEastAsia"/>
                <w:szCs w:val="24"/>
              </w:rPr>
              <w:t>为</w:t>
            </w:r>
            <w:r>
              <w:rPr>
                <w:rFonts w:hint="eastAsia" w:asciiTheme="minorEastAsia" w:hAnsiTheme="minorEastAsia"/>
                <w:szCs w:val="24"/>
              </w:rPr>
              <w:t>0.23m</w:t>
            </w:r>
            <w:r>
              <w:rPr>
                <w:rFonts w:hint="eastAsia" w:asciiTheme="minorEastAsia" w:hAnsiTheme="minorEastAsia"/>
                <w:szCs w:val="24"/>
                <w:vertAlign w:val="superscript"/>
              </w:rPr>
              <w:t>3</w:t>
            </w:r>
            <w:r>
              <w:rPr>
                <w:rFonts w:asciiTheme="minorEastAsia" w:hAnsiTheme="minorEastAsia"/>
                <w:szCs w:val="24"/>
              </w:rPr>
              <w:t>/d</w:t>
            </w:r>
            <w:r>
              <w:rPr>
                <w:rFonts w:hint="eastAsia" w:asciiTheme="minorEastAsia" w:hAnsiTheme="minorEastAsia"/>
                <w:szCs w:val="24"/>
              </w:rPr>
              <w:t>，83.95m</w:t>
            </w:r>
            <w:r>
              <w:rPr>
                <w:rFonts w:hint="eastAsia" w:asciiTheme="minorEastAsia" w:hAnsiTheme="minorEastAsia"/>
                <w:szCs w:val="24"/>
                <w:vertAlign w:val="superscript"/>
              </w:rPr>
              <w:t>3</w:t>
            </w:r>
            <w:r>
              <w:rPr>
                <w:rFonts w:asciiTheme="minorEastAsia" w:hAnsiTheme="minorEastAsia"/>
                <w:szCs w:val="24"/>
              </w:rPr>
              <w:t>/a</w:t>
            </w:r>
            <w:r>
              <w:rPr>
                <w:rFonts w:hint="eastAsia" w:asciiTheme="minorEastAsia" w:hAnsiTheme="minorEastAsia"/>
                <w:szCs w:val="24"/>
              </w:rPr>
              <w:t>；剩余生活污水产生量</w:t>
            </w:r>
            <w:r>
              <w:rPr>
                <w:rFonts w:asciiTheme="minorEastAsia" w:hAnsiTheme="minorEastAsia"/>
                <w:szCs w:val="24"/>
              </w:rPr>
              <w:t>为</w:t>
            </w:r>
            <w:r>
              <w:rPr>
                <w:rFonts w:hint="eastAsia" w:asciiTheme="minorEastAsia" w:hAnsiTheme="minorEastAsia"/>
                <w:szCs w:val="24"/>
              </w:rPr>
              <w:t>2.074m</w:t>
            </w:r>
            <w:r>
              <w:rPr>
                <w:rFonts w:hint="eastAsia" w:asciiTheme="minorEastAsia" w:hAnsiTheme="minorEastAsia"/>
                <w:szCs w:val="24"/>
                <w:vertAlign w:val="superscript"/>
              </w:rPr>
              <w:t>3</w:t>
            </w:r>
            <w:r>
              <w:rPr>
                <w:rFonts w:asciiTheme="minorEastAsia" w:hAnsiTheme="minorEastAsia"/>
                <w:szCs w:val="24"/>
              </w:rPr>
              <w:t>/d</w:t>
            </w:r>
            <w:r>
              <w:rPr>
                <w:rFonts w:hint="eastAsia" w:asciiTheme="minorEastAsia" w:hAnsiTheme="minorEastAsia"/>
                <w:szCs w:val="24"/>
              </w:rPr>
              <w:t>，757.01m</w:t>
            </w:r>
            <w:r>
              <w:rPr>
                <w:rFonts w:hint="eastAsia" w:asciiTheme="minorEastAsia" w:hAnsiTheme="minorEastAsia"/>
                <w:szCs w:val="24"/>
                <w:vertAlign w:val="superscript"/>
              </w:rPr>
              <w:t>3</w:t>
            </w:r>
            <w:r>
              <w:rPr>
                <w:rFonts w:asciiTheme="minorEastAsia" w:hAnsiTheme="minorEastAsia"/>
                <w:szCs w:val="24"/>
              </w:rPr>
              <w:t>/a</w:t>
            </w:r>
            <w:r>
              <w:rPr>
                <w:rFonts w:hint="eastAsia" w:asciiTheme="minorEastAsia" w:hAnsiTheme="minorEastAsia"/>
                <w:szCs w:val="24"/>
              </w:rPr>
              <w:t>经化粪池处理后进入一体化污水处理站处理</w:t>
            </w:r>
            <w:r>
              <w:rPr>
                <w:rFonts w:hint="eastAsia" w:asciiTheme="minorEastAsia" w:hAnsiTheme="minorEastAsia"/>
                <w:bCs/>
                <w:szCs w:val="24"/>
              </w:rPr>
              <w:t>。</w:t>
            </w:r>
          </w:p>
          <w:p>
            <w:pPr>
              <w:ind w:firstLine="480"/>
            </w:pPr>
            <w:r>
              <w:rPr>
                <w:rFonts w:hint="eastAsia"/>
              </w:rPr>
              <w:t>综上，项目</w:t>
            </w:r>
            <w:r>
              <w:rPr>
                <w:rFonts w:hint="eastAsia" w:ascii="宋体" w:hAnsi="宋体" w:eastAsia="宋体" w:cs="宋体"/>
              </w:rPr>
              <w:t>食堂用水、入厕及洗漱用水</w:t>
            </w:r>
            <w:r>
              <w:rPr>
                <w:rFonts w:hint="eastAsia"/>
              </w:rPr>
              <w:t>每天最大用水量为3.36m</w:t>
            </w:r>
            <w:r>
              <w:rPr>
                <w:rFonts w:hint="eastAsia"/>
                <w:vertAlign w:val="superscript"/>
              </w:rPr>
              <w:t>3</w:t>
            </w:r>
            <w:r>
              <w:rPr>
                <w:rFonts w:hint="eastAsia"/>
              </w:rPr>
              <w:t>/d（1226.4</w:t>
            </w:r>
            <w:r>
              <w:rPr>
                <w:rFonts w:eastAsia="宋体" w:cs="Times New Roman"/>
                <w:szCs w:val="24"/>
              </w:rPr>
              <w:t>m</w:t>
            </w:r>
            <w:r>
              <w:rPr>
                <w:rFonts w:eastAsia="宋体" w:cs="Times New Roman"/>
                <w:szCs w:val="24"/>
                <w:vertAlign w:val="superscript"/>
              </w:rPr>
              <w:t>3</w:t>
            </w:r>
            <w:r>
              <w:rPr>
                <w:rFonts w:eastAsia="宋体" w:cs="Times New Roman"/>
                <w:szCs w:val="24"/>
              </w:rPr>
              <w:t>/a</w:t>
            </w:r>
            <w:r>
              <w:rPr>
                <w:rFonts w:hint="eastAsia"/>
              </w:rPr>
              <w:t>），生活污水排放量为2.688m</w:t>
            </w:r>
            <w:r>
              <w:rPr>
                <w:rFonts w:hint="eastAsia"/>
                <w:vertAlign w:val="superscript"/>
              </w:rPr>
              <w:t>3</w:t>
            </w:r>
            <w:r>
              <w:rPr>
                <w:rFonts w:hint="eastAsia"/>
              </w:rPr>
              <w:t>/d（含油废水0.268m</w:t>
            </w:r>
            <w:r>
              <w:rPr>
                <w:rFonts w:hint="eastAsia"/>
                <w:vertAlign w:val="superscript"/>
              </w:rPr>
              <w:t>3</w:t>
            </w:r>
            <w:r>
              <w:rPr>
                <w:rFonts w:hint="eastAsia"/>
              </w:rPr>
              <w:t>/d），981.12</w:t>
            </w:r>
            <w:r>
              <w:rPr>
                <w:rFonts w:hint="eastAsia" w:asciiTheme="minorEastAsia" w:hAnsiTheme="minorEastAsia"/>
                <w:szCs w:val="24"/>
              </w:rPr>
              <w:t>m</w:t>
            </w:r>
            <w:r>
              <w:rPr>
                <w:rFonts w:hint="eastAsia" w:asciiTheme="minorEastAsia" w:hAnsiTheme="minorEastAsia"/>
                <w:szCs w:val="24"/>
                <w:vertAlign w:val="superscript"/>
              </w:rPr>
              <w:t>3</w:t>
            </w:r>
            <w:r>
              <w:rPr>
                <w:rFonts w:asciiTheme="minorEastAsia" w:hAnsiTheme="minorEastAsia"/>
                <w:szCs w:val="24"/>
              </w:rPr>
              <w:t>/a</w:t>
            </w:r>
            <w:r>
              <w:rPr>
                <w:rFonts w:hint="eastAsia" w:asciiTheme="minorEastAsia" w:hAnsiTheme="minorEastAsia"/>
                <w:szCs w:val="24"/>
              </w:rPr>
              <w:t>（含油废水97.82m</w:t>
            </w:r>
            <w:r>
              <w:rPr>
                <w:rFonts w:hint="eastAsia" w:asciiTheme="minorEastAsia" w:hAnsiTheme="minorEastAsia"/>
                <w:szCs w:val="24"/>
                <w:vertAlign w:val="superscript"/>
              </w:rPr>
              <w:t>3</w:t>
            </w:r>
            <w:r>
              <w:rPr>
                <w:rFonts w:asciiTheme="minorEastAsia" w:hAnsiTheme="minorEastAsia"/>
                <w:szCs w:val="24"/>
              </w:rPr>
              <w:t>/a</w:t>
            </w:r>
            <w:r>
              <w:rPr>
                <w:rFonts w:hint="eastAsia" w:asciiTheme="minorEastAsia" w:hAnsiTheme="minorEastAsia"/>
                <w:szCs w:val="24"/>
              </w:rPr>
              <w:t>）</w:t>
            </w:r>
            <w:r>
              <w:rPr>
                <w:rFonts w:hint="eastAsia" w:asciiTheme="minorEastAsia" w:hAnsiTheme="minorEastAsia"/>
                <w:bCs/>
                <w:szCs w:val="24"/>
              </w:rPr>
              <w:t>。</w:t>
            </w:r>
          </w:p>
          <w:p>
            <w:pPr>
              <w:ind w:firstLine="480"/>
              <w:rPr>
                <w:color w:val="4F81BD" w:themeColor="accent1"/>
              </w:rPr>
            </w:pPr>
            <w:r>
              <w:rPr>
                <w:rFonts w:hint="eastAsia"/>
                <w:color w:val="4F81BD" w:themeColor="accent1"/>
              </w:rPr>
              <w:t>根据2020年3月3日云南省人民政府办公厅关于《云南省加快推进城市生活垃圾分类工作实施方案》附件1：生活垃圾分类类别、储存及处置方法中厨余垃圾（湿垃圾）：餐饮企业、公共机构食堂在食品加工、饮食服务、单位供餐等活动中产生的食物残渣、食品加工废料和废弃食用油脂，该部分产生的厨余垃圾（湿垃圾）由属地环卫主管部门或其授权、委托的厨余垃圾（湿垃圾）处理企业统一收运和集中处理处置。故本项目含油废水经隔油池处理后与生活垃圾一同处理可行。</w:t>
            </w:r>
          </w:p>
          <w:p>
            <w:pPr>
              <w:ind w:firstLine="480"/>
            </w:pPr>
            <w:r>
              <w:rPr>
                <w:rFonts w:ascii="Calibri" w:hAnsi="Calibri" w:cs="Calibri"/>
              </w:rPr>
              <w:t>③</w:t>
            </w:r>
            <w:r>
              <w:rPr>
                <w:rFonts w:hint="eastAsia" w:ascii="Calibri" w:hAnsi="Calibri" w:cs="Calibri"/>
              </w:rPr>
              <w:t>绿化</w:t>
            </w:r>
          </w:p>
          <w:p>
            <w:pPr>
              <w:ind w:firstLine="480"/>
              <w:rPr>
                <w:szCs w:val="28"/>
              </w:rPr>
            </w:pPr>
            <w:r>
              <w:rPr>
                <w:szCs w:val="32"/>
              </w:rPr>
              <w:t>项目内绿化面积约为</w:t>
            </w:r>
            <w:r>
              <w:rPr>
                <w:rFonts w:hint="eastAsia"/>
                <w:szCs w:val="32"/>
              </w:rPr>
              <w:t>100</w:t>
            </w:r>
            <w:r>
              <w:rPr>
                <w:szCs w:val="32"/>
              </w:rPr>
              <w:t>m</w:t>
            </w:r>
            <w:r>
              <w:rPr>
                <w:szCs w:val="32"/>
                <w:vertAlign w:val="superscript"/>
              </w:rPr>
              <w:t>2</w:t>
            </w:r>
            <w:r>
              <w:rPr>
                <w:szCs w:val="32"/>
              </w:rPr>
              <w:t>，</w:t>
            </w:r>
            <w:r>
              <w:rPr>
                <w:rFonts w:hint="eastAsia"/>
                <w:szCs w:val="28"/>
              </w:rPr>
              <w:t>按照《云南省地表标准—用水定额》（DB53/T168-2019），</w:t>
            </w:r>
            <w:r>
              <w:rPr>
                <w:szCs w:val="28"/>
              </w:rPr>
              <w:t>取</w:t>
            </w:r>
            <w:r>
              <w:rPr>
                <w:rFonts w:hint="eastAsia"/>
                <w:szCs w:val="28"/>
              </w:rPr>
              <w:t>绿化</w:t>
            </w:r>
            <w:r>
              <w:rPr>
                <w:szCs w:val="28"/>
              </w:rPr>
              <w:t>用水量为</w:t>
            </w:r>
            <w:r>
              <w:rPr>
                <w:rFonts w:hint="eastAsia"/>
                <w:szCs w:val="28"/>
              </w:rPr>
              <w:t>2</w:t>
            </w:r>
            <w:r>
              <w:rPr>
                <w:szCs w:val="28"/>
              </w:rPr>
              <w:t>L/</w:t>
            </w:r>
            <w:r>
              <w:rPr>
                <w:bCs/>
                <w:szCs w:val="28"/>
              </w:rPr>
              <w:t>m</w:t>
            </w:r>
            <w:r>
              <w:rPr>
                <w:bCs/>
                <w:szCs w:val="28"/>
                <w:vertAlign w:val="superscript"/>
              </w:rPr>
              <w:t>2</w:t>
            </w:r>
            <w:r>
              <w:rPr>
                <w:szCs w:val="28"/>
              </w:rPr>
              <w:t>·</w:t>
            </w:r>
            <w:r>
              <w:rPr>
                <w:rFonts w:hint="eastAsia"/>
                <w:szCs w:val="28"/>
              </w:rPr>
              <w:t>次</w:t>
            </w:r>
            <w:r>
              <w:rPr>
                <w:bCs/>
                <w:szCs w:val="28"/>
              </w:rPr>
              <w:t>，</w:t>
            </w:r>
            <w:r>
              <w:rPr>
                <w:rFonts w:hint="eastAsia"/>
                <w:szCs w:val="28"/>
              </w:rPr>
              <w:t>晴天每三天浇水</w:t>
            </w:r>
            <w:r>
              <w:rPr>
                <w:szCs w:val="28"/>
              </w:rPr>
              <w:t>一次，则</w:t>
            </w:r>
            <w:r>
              <w:rPr>
                <w:rFonts w:hint="eastAsia"/>
                <w:szCs w:val="28"/>
              </w:rPr>
              <w:t>晴天绿化</w:t>
            </w:r>
            <w:r>
              <w:rPr>
                <w:szCs w:val="28"/>
              </w:rPr>
              <w:t>用水量约为</w:t>
            </w:r>
            <w:r>
              <w:rPr>
                <w:rFonts w:hint="eastAsia"/>
                <w:szCs w:val="28"/>
              </w:rPr>
              <w:t>0.2</w:t>
            </w:r>
            <w:r>
              <w:rPr>
                <w:szCs w:val="28"/>
              </w:rPr>
              <w:t>m</w:t>
            </w:r>
            <w:r>
              <w:rPr>
                <w:szCs w:val="28"/>
                <w:vertAlign w:val="superscript"/>
              </w:rPr>
              <w:t>3</w:t>
            </w:r>
            <w:r>
              <w:rPr>
                <w:szCs w:val="28"/>
              </w:rPr>
              <w:t>/</w:t>
            </w:r>
            <w:r>
              <w:rPr>
                <w:rFonts w:hint="eastAsia"/>
                <w:szCs w:val="28"/>
              </w:rPr>
              <w:t>次，0.066</w:t>
            </w:r>
            <w:r>
              <w:rPr>
                <w:szCs w:val="28"/>
              </w:rPr>
              <w:t>m</w:t>
            </w:r>
            <w:r>
              <w:rPr>
                <w:szCs w:val="28"/>
                <w:vertAlign w:val="superscript"/>
              </w:rPr>
              <w:t>3</w:t>
            </w:r>
            <w:r>
              <w:rPr>
                <w:szCs w:val="28"/>
              </w:rPr>
              <w:t>/d；雨</w:t>
            </w:r>
            <w:r>
              <w:rPr>
                <w:rFonts w:hint="eastAsia"/>
                <w:szCs w:val="28"/>
              </w:rPr>
              <w:t>天不浇水</w:t>
            </w:r>
            <w:r>
              <w:rPr>
                <w:szCs w:val="28"/>
              </w:rPr>
              <w:t>。</w:t>
            </w:r>
            <w:r>
              <w:rPr>
                <w:rFonts w:hint="eastAsia"/>
                <w:szCs w:val="28"/>
              </w:rPr>
              <w:t>项目所在区域</w:t>
            </w:r>
            <w:r>
              <w:rPr>
                <w:szCs w:val="28"/>
              </w:rPr>
              <w:t>地区雨</w:t>
            </w:r>
            <w:r>
              <w:rPr>
                <w:rFonts w:hint="eastAsia"/>
                <w:szCs w:val="28"/>
              </w:rPr>
              <w:t>天165</w:t>
            </w:r>
            <w:r>
              <w:rPr>
                <w:szCs w:val="28"/>
              </w:rPr>
              <w:t>d，</w:t>
            </w:r>
            <w:r>
              <w:rPr>
                <w:rFonts w:hint="eastAsia"/>
                <w:szCs w:val="28"/>
              </w:rPr>
              <w:t>晴天200</w:t>
            </w:r>
            <w:r>
              <w:rPr>
                <w:szCs w:val="28"/>
              </w:rPr>
              <w:t>d</w:t>
            </w:r>
            <w:r>
              <w:rPr>
                <w:rFonts w:hint="eastAsia"/>
                <w:szCs w:val="28"/>
              </w:rPr>
              <w:t>，则绿化用水量为13.2</w:t>
            </w:r>
            <w:r>
              <w:rPr>
                <w:szCs w:val="28"/>
              </w:rPr>
              <w:t>m</w:t>
            </w:r>
            <w:r>
              <w:rPr>
                <w:szCs w:val="28"/>
                <w:vertAlign w:val="superscript"/>
              </w:rPr>
              <w:t>3</w:t>
            </w:r>
            <w:r>
              <w:rPr>
                <w:szCs w:val="28"/>
              </w:rPr>
              <w:t>/</w:t>
            </w:r>
            <w:r>
              <w:rPr>
                <w:rFonts w:hint="eastAsia"/>
                <w:szCs w:val="28"/>
              </w:rPr>
              <w:t>a。绿化用水由植被吸收及自然蒸发，不产生废水。</w:t>
            </w:r>
          </w:p>
          <w:p>
            <w:pPr>
              <w:ind w:firstLine="480"/>
            </w:pPr>
            <w:r>
              <w:rPr>
                <w:rFonts w:hint="eastAsia" w:hAnsi="宋体" w:eastAsia="宋体" w:cs="Times New Roman"/>
              </w:rPr>
              <w:t>综上，本项目总用水</w:t>
            </w:r>
            <w:r>
              <w:rPr>
                <w:rFonts w:hint="eastAsia"/>
              </w:rPr>
              <w:t>量约15.026m</w:t>
            </w:r>
            <w:r>
              <w:rPr>
                <w:rFonts w:hint="eastAsia"/>
                <w:vertAlign w:val="superscript"/>
              </w:rPr>
              <w:t>3</w:t>
            </w:r>
            <w:r>
              <w:rPr>
                <w:rFonts w:hint="eastAsia"/>
              </w:rPr>
              <w:t>/d（5473.6m</w:t>
            </w:r>
            <w:r>
              <w:rPr>
                <w:rFonts w:hint="eastAsia"/>
                <w:vertAlign w:val="superscript"/>
              </w:rPr>
              <w:t>3</w:t>
            </w:r>
            <w:r>
              <w:rPr>
                <w:rFonts w:hint="eastAsia"/>
              </w:rPr>
              <w:t>/a），排水量约11.62m</w:t>
            </w:r>
            <w:r>
              <w:rPr>
                <w:rFonts w:hint="eastAsia"/>
                <w:vertAlign w:val="superscript"/>
              </w:rPr>
              <w:t>3</w:t>
            </w:r>
            <w:r>
              <w:rPr>
                <w:rFonts w:hint="eastAsia"/>
              </w:rPr>
              <w:t>/d（4241.3m</w:t>
            </w:r>
            <w:r>
              <w:rPr>
                <w:rFonts w:hint="eastAsia"/>
                <w:vertAlign w:val="superscript"/>
              </w:rPr>
              <w:t>3</w:t>
            </w:r>
            <w:r>
              <w:rPr>
                <w:rFonts w:hint="eastAsia"/>
              </w:rPr>
              <w:t>/a）。具体情况见下表。</w:t>
            </w:r>
          </w:p>
          <w:p>
            <w:pPr>
              <w:pStyle w:val="66"/>
            </w:pPr>
            <w:r>
              <w:rPr>
                <w:rFonts w:hint="eastAsia"/>
              </w:rPr>
              <w:t>表4-1 项目用排水量汇总表</w:t>
            </w:r>
          </w:p>
          <w:tbl>
            <w:tblPr>
              <w:tblStyle w:val="36"/>
              <w:tblW w:w="8433" w:type="dxa"/>
              <w:jc w:val="center"/>
              <w:tblLayout w:type="fixed"/>
              <w:tblCellMar>
                <w:top w:w="0" w:type="dxa"/>
                <w:left w:w="0" w:type="dxa"/>
                <w:bottom w:w="0" w:type="dxa"/>
                <w:right w:w="0" w:type="dxa"/>
              </w:tblCellMar>
            </w:tblPr>
            <w:tblGrid>
              <w:gridCol w:w="542"/>
              <w:gridCol w:w="1065"/>
              <w:gridCol w:w="1245"/>
              <w:gridCol w:w="690"/>
              <w:gridCol w:w="855"/>
              <w:gridCol w:w="855"/>
              <w:gridCol w:w="1560"/>
              <w:gridCol w:w="1621"/>
            </w:tblGrid>
            <w:tr>
              <w:tblPrEx>
                <w:tblCellMar>
                  <w:top w:w="0" w:type="dxa"/>
                  <w:left w:w="0" w:type="dxa"/>
                  <w:bottom w:w="0" w:type="dxa"/>
                  <w:right w:w="0" w:type="dxa"/>
                </w:tblCellMar>
              </w:tblPrEx>
              <w:trPr>
                <w:trHeight w:val="285" w:hRule="atLeast"/>
                <w:jc w:val="center"/>
              </w:trPr>
              <w:tc>
                <w:tcPr>
                  <w:tcW w:w="1607"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146"/>
                    <w:rPr>
                      <w:szCs w:val="21"/>
                    </w:rPr>
                  </w:pPr>
                  <w:r>
                    <w:rPr>
                      <w:rFonts w:hint="eastAsia"/>
                      <w:szCs w:val="21"/>
                    </w:rPr>
                    <w:t>用水部位</w:t>
                  </w:r>
                </w:p>
              </w:tc>
              <w:tc>
                <w:tcPr>
                  <w:tcW w:w="124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146"/>
                    <w:rPr>
                      <w:szCs w:val="21"/>
                    </w:rPr>
                  </w:pPr>
                  <w:r>
                    <w:rPr>
                      <w:rFonts w:hint="eastAsia"/>
                      <w:szCs w:val="21"/>
                    </w:rPr>
                    <w:t>用水定额</w:t>
                  </w:r>
                </w:p>
              </w:tc>
              <w:tc>
                <w:tcPr>
                  <w:tcW w:w="69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146"/>
                    <w:rPr>
                      <w:szCs w:val="21"/>
                    </w:rPr>
                  </w:pPr>
                  <w:r>
                    <w:rPr>
                      <w:rFonts w:hint="eastAsia"/>
                      <w:szCs w:val="21"/>
                    </w:rPr>
                    <w:t>用水数量</w:t>
                  </w:r>
                </w:p>
              </w:tc>
              <w:tc>
                <w:tcPr>
                  <w:tcW w:w="1710" w:type="dxa"/>
                  <w:gridSpan w:val="2"/>
                  <w:tcBorders>
                    <w:top w:val="single" w:color="auto" w:sz="8" w:space="0"/>
                    <w:left w:val="nil"/>
                    <w:bottom w:val="single" w:color="auto" w:sz="8" w:space="0"/>
                    <w:right w:val="single" w:color="000000" w:sz="8" w:space="0"/>
                  </w:tcBorders>
                  <w:shd w:val="clear" w:color="auto" w:fill="auto"/>
                  <w:vAlign w:val="center"/>
                </w:tcPr>
                <w:p>
                  <w:pPr>
                    <w:pStyle w:val="146"/>
                    <w:rPr>
                      <w:szCs w:val="21"/>
                    </w:rPr>
                  </w:pPr>
                  <w:r>
                    <w:rPr>
                      <w:rFonts w:hint="eastAsia"/>
                      <w:szCs w:val="21"/>
                    </w:rPr>
                    <w:t>用水量</w:t>
                  </w:r>
                </w:p>
              </w:tc>
              <w:tc>
                <w:tcPr>
                  <w:tcW w:w="3181" w:type="dxa"/>
                  <w:gridSpan w:val="2"/>
                  <w:tcBorders>
                    <w:top w:val="single" w:color="auto" w:sz="8" w:space="0"/>
                    <w:left w:val="nil"/>
                    <w:bottom w:val="single" w:color="auto" w:sz="8" w:space="0"/>
                    <w:right w:val="single" w:color="000000" w:sz="8" w:space="0"/>
                  </w:tcBorders>
                  <w:shd w:val="clear" w:color="auto" w:fill="auto"/>
                  <w:vAlign w:val="center"/>
                </w:tcPr>
                <w:p>
                  <w:pPr>
                    <w:pStyle w:val="146"/>
                    <w:rPr>
                      <w:szCs w:val="21"/>
                    </w:rPr>
                  </w:pPr>
                  <w:r>
                    <w:rPr>
                      <w:rFonts w:hint="eastAsia"/>
                      <w:szCs w:val="21"/>
                    </w:rPr>
                    <w:t>排水量</w:t>
                  </w:r>
                </w:p>
              </w:tc>
            </w:tr>
            <w:tr>
              <w:tblPrEx>
                <w:tblCellMar>
                  <w:top w:w="0" w:type="dxa"/>
                  <w:left w:w="0" w:type="dxa"/>
                  <w:bottom w:w="0" w:type="dxa"/>
                  <w:right w:w="0" w:type="dxa"/>
                </w:tblCellMar>
              </w:tblPrEx>
              <w:trPr>
                <w:trHeight w:val="270" w:hRule="atLeast"/>
                <w:jc w:val="center"/>
              </w:trPr>
              <w:tc>
                <w:tcPr>
                  <w:tcW w:w="1607" w:type="dxa"/>
                  <w:gridSpan w:val="2"/>
                  <w:vMerge w:val="continue"/>
                  <w:tcBorders>
                    <w:top w:val="single" w:color="auto" w:sz="8" w:space="0"/>
                    <w:left w:val="single" w:color="auto" w:sz="8" w:space="0"/>
                    <w:bottom w:val="single" w:color="000000" w:sz="8" w:space="0"/>
                    <w:right w:val="single" w:color="000000" w:sz="8" w:space="0"/>
                  </w:tcBorders>
                  <w:vAlign w:val="center"/>
                </w:tcPr>
                <w:p>
                  <w:pPr>
                    <w:pStyle w:val="146"/>
                    <w:rPr>
                      <w:szCs w:val="21"/>
                    </w:rPr>
                  </w:pPr>
                </w:p>
              </w:tc>
              <w:tc>
                <w:tcPr>
                  <w:tcW w:w="1245" w:type="dxa"/>
                  <w:vMerge w:val="continue"/>
                  <w:tcBorders>
                    <w:top w:val="single" w:color="auto" w:sz="8" w:space="0"/>
                    <w:left w:val="single" w:color="auto" w:sz="8" w:space="0"/>
                    <w:bottom w:val="single" w:color="000000" w:sz="8" w:space="0"/>
                    <w:right w:val="single" w:color="auto" w:sz="8" w:space="0"/>
                  </w:tcBorders>
                  <w:vAlign w:val="center"/>
                </w:tcPr>
                <w:p>
                  <w:pPr>
                    <w:pStyle w:val="146"/>
                    <w:rPr>
                      <w:szCs w:val="21"/>
                    </w:rPr>
                  </w:pPr>
                </w:p>
              </w:tc>
              <w:tc>
                <w:tcPr>
                  <w:tcW w:w="690" w:type="dxa"/>
                  <w:vMerge w:val="continue"/>
                  <w:tcBorders>
                    <w:top w:val="single" w:color="auto" w:sz="8" w:space="0"/>
                    <w:left w:val="single" w:color="auto" w:sz="8" w:space="0"/>
                    <w:bottom w:val="single" w:color="000000" w:sz="8" w:space="0"/>
                    <w:right w:val="single" w:color="auto" w:sz="8" w:space="0"/>
                  </w:tcBorders>
                  <w:vAlign w:val="center"/>
                </w:tcPr>
                <w:p>
                  <w:pPr>
                    <w:pStyle w:val="146"/>
                    <w:rPr>
                      <w:szCs w:val="21"/>
                    </w:rPr>
                  </w:pPr>
                </w:p>
              </w:tc>
              <w:tc>
                <w:tcPr>
                  <w:tcW w:w="855" w:type="dxa"/>
                  <w:vMerge w:val="restart"/>
                  <w:tcBorders>
                    <w:top w:val="nil"/>
                    <w:left w:val="single" w:color="auto" w:sz="8" w:space="0"/>
                    <w:bottom w:val="single" w:color="000000" w:sz="8" w:space="0"/>
                    <w:right w:val="single" w:color="auto" w:sz="8" w:space="0"/>
                  </w:tcBorders>
                  <w:shd w:val="clear" w:color="auto" w:fill="auto"/>
                  <w:vAlign w:val="center"/>
                </w:tcPr>
                <w:p>
                  <w:pPr>
                    <w:pStyle w:val="146"/>
                    <w:rPr>
                      <w:szCs w:val="21"/>
                    </w:rPr>
                  </w:pPr>
                  <w:r>
                    <w:rPr>
                      <w:rFonts w:hint="eastAsia"/>
                      <w:szCs w:val="21"/>
                    </w:rPr>
                    <w:t>日（</w:t>
                  </w:r>
                  <w:r>
                    <w:rPr>
                      <w:szCs w:val="21"/>
                    </w:rPr>
                    <w:t>m</w:t>
                  </w:r>
                  <w:r>
                    <w:rPr>
                      <w:szCs w:val="21"/>
                      <w:vertAlign w:val="superscript"/>
                    </w:rPr>
                    <w:t>3</w:t>
                  </w:r>
                  <w:r>
                    <w:rPr>
                      <w:szCs w:val="21"/>
                    </w:rPr>
                    <w:t>/d</w:t>
                  </w:r>
                  <w:r>
                    <w:rPr>
                      <w:rFonts w:hint="eastAsia"/>
                      <w:szCs w:val="21"/>
                    </w:rPr>
                    <w:t>）</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6"/>
                    <w:rPr>
                      <w:szCs w:val="21"/>
                    </w:rPr>
                  </w:pPr>
                  <w:r>
                    <w:rPr>
                      <w:rFonts w:hint="eastAsia"/>
                      <w:szCs w:val="21"/>
                    </w:rPr>
                    <w:t>年</w:t>
                  </w:r>
                </w:p>
              </w:tc>
              <w:tc>
                <w:tcPr>
                  <w:tcW w:w="1560" w:type="dxa"/>
                  <w:vMerge w:val="restart"/>
                  <w:tcBorders>
                    <w:top w:val="nil"/>
                    <w:left w:val="single" w:color="auto" w:sz="8" w:space="0"/>
                    <w:bottom w:val="single" w:color="000000" w:sz="8" w:space="0"/>
                    <w:right w:val="single" w:color="auto" w:sz="8" w:space="0"/>
                  </w:tcBorders>
                  <w:shd w:val="clear" w:color="auto" w:fill="auto"/>
                  <w:vAlign w:val="center"/>
                </w:tcPr>
                <w:p>
                  <w:pPr>
                    <w:pStyle w:val="146"/>
                    <w:rPr>
                      <w:szCs w:val="21"/>
                    </w:rPr>
                  </w:pPr>
                  <w:r>
                    <w:rPr>
                      <w:rFonts w:hint="eastAsia"/>
                      <w:szCs w:val="21"/>
                    </w:rPr>
                    <w:t>日（</w:t>
                  </w:r>
                  <w:r>
                    <w:rPr>
                      <w:szCs w:val="21"/>
                    </w:rPr>
                    <w:t>m</w:t>
                  </w:r>
                  <w:r>
                    <w:rPr>
                      <w:szCs w:val="21"/>
                      <w:vertAlign w:val="superscript"/>
                    </w:rPr>
                    <w:t>3</w:t>
                  </w:r>
                  <w:r>
                    <w:rPr>
                      <w:szCs w:val="21"/>
                    </w:rPr>
                    <w:t>/d</w:t>
                  </w:r>
                  <w:r>
                    <w:rPr>
                      <w:rFonts w:hint="eastAsia"/>
                      <w:szCs w:val="21"/>
                    </w:rPr>
                    <w:t>）</w:t>
                  </w:r>
                </w:p>
              </w:tc>
              <w:tc>
                <w:tcPr>
                  <w:tcW w:w="1621"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6"/>
                    <w:rPr>
                      <w:szCs w:val="21"/>
                    </w:rPr>
                  </w:pPr>
                  <w:r>
                    <w:rPr>
                      <w:rFonts w:hint="eastAsia"/>
                      <w:szCs w:val="21"/>
                    </w:rPr>
                    <w:t>年</w:t>
                  </w:r>
                </w:p>
              </w:tc>
            </w:tr>
            <w:tr>
              <w:tblPrEx>
                <w:tblCellMar>
                  <w:top w:w="0" w:type="dxa"/>
                  <w:left w:w="0" w:type="dxa"/>
                  <w:bottom w:w="0" w:type="dxa"/>
                  <w:right w:w="0" w:type="dxa"/>
                </w:tblCellMar>
              </w:tblPrEx>
              <w:trPr>
                <w:trHeight w:val="345" w:hRule="atLeast"/>
                <w:jc w:val="center"/>
              </w:trPr>
              <w:tc>
                <w:tcPr>
                  <w:tcW w:w="1607" w:type="dxa"/>
                  <w:gridSpan w:val="2"/>
                  <w:vMerge w:val="continue"/>
                  <w:tcBorders>
                    <w:top w:val="single" w:color="auto" w:sz="8" w:space="0"/>
                    <w:left w:val="single" w:color="auto" w:sz="8" w:space="0"/>
                    <w:bottom w:val="single" w:color="000000" w:sz="8" w:space="0"/>
                    <w:right w:val="single" w:color="000000" w:sz="8" w:space="0"/>
                  </w:tcBorders>
                  <w:vAlign w:val="center"/>
                </w:tcPr>
                <w:p>
                  <w:pPr>
                    <w:pStyle w:val="146"/>
                    <w:rPr>
                      <w:szCs w:val="21"/>
                    </w:rPr>
                  </w:pPr>
                </w:p>
              </w:tc>
              <w:tc>
                <w:tcPr>
                  <w:tcW w:w="1245" w:type="dxa"/>
                  <w:vMerge w:val="continue"/>
                  <w:tcBorders>
                    <w:top w:val="single" w:color="auto" w:sz="8" w:space="0"/>
                    <w:left w:val="single" w:color="auto" w:sz="8" w:space="0"/>
                    <w:bottom w:val="single" w:color="000000" w:sz="8" w:space="0"/>
                    <w:right w:val="single" w:color="auto" w:sz="8" w:space="0"/>
                  </w:tcBorders>
                  <w:vAlign w:val="center"/>
                </w:tcPr>
                <w:p>
                  <w:pPr>
                    <w:pStyle w:val="146"/>
                    <w:rPr>
                      <w:szCs w:val="21"/>
                    </w:rPr>
                  </w:pPr>
                </w:p>
              </w:tc>
              <w:tc>
                <w:tcPr>
                  <w:tcW w:w="690" w:type="dxa"/>
                  <w:vMerge w:val="continue"/>
                  <w:tcBorders>
                    <w:top w:val="single" w:color="auto" w:sz="8" w:space="0"/>
                    <w:left w:val="single" w:color="auto" w:sz="8" w:space="0"/>
                    <w:bottom w:val="single" w:color="000000" w:sz="8" w:space="0"/>
                    <w:right w:val="single" w:color="auto" w:sz="8" w:space="0"/>
                  </w:tcBorders>
                  <w:vAlign w:val="center"/>
                </w:tcPr>
                <w:p>
                  <w:pPr>
                    <w:pStyle w:val="146"/>
                    <w:rPr>
                      <w:szCs w:val="21"/>
                    </w:rPr>
                  </w:pPr>
                </w:p>
              </w:tc>
              <w:tc>
                <w:tcPr>
                  <w:tcW w:w="855" w:type="dxa"/>
                  <w:vMerge w:val="continue"/>
                  <w:tcBorders>
                    <w:top w:val="nil"/>
                    <w:left w:val="single" w:color="auto" w:sz="8" w:space="0"/>
                    <w:bottom w:val="single" w:color="000000" w:sz="8" w:space="0"/>
                    <w:right w:val="single" w:color="auto" w:sz="8" w:space="0"/>
                  </w:tcBorders>
                  <w:vAlign w:val="center"/>
                </w:tcPr>
                <w:p>
                  <w:pPr>
                    <w:pStyle w:val="146"/>
                    <w:rPr>
                      <w:szCs w:val="21"/>
                    </w:rPr>
                  </w:pP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6"/>
                    <w:rPr>
                      <w:szCs w:val="21"/>
                    </w:rPr>
                  </w:pPr>
                  <w:r>
                    <w:rPr>
                      <w:rFonts w:hint="eastAsia"/>
                      <w:szCs w:val="21"/>
                    </w:rPr>
                    <w:t>（</w:t>
                  </w:r>
                  <w:r>
                    <w:rPr>
                      <w:szCs w:val="21"/>
                    </w:rPr>
                    <w:t>m</w:t>
                  </w:r>
                  <w:r>
                    <w:rPr>
                      <w:szCs w:val="21"/>
                      <w:vertAlign w:val="superscript"/>
                    </w:rPr>
                    <w:t>3</w:t>
                  </w:r>
                  <w:r>
                    <w:rPr>
                      <w:szCs w:val="21"/>
                    </w:rPr>
                    <w:t>/a</w:t>
                  </w:r>
                  <w:r>
                    <w:rPr>
                      <w:rFonts w:hint="eastAsia"/>
                      <w:szCs w:val="21"/>
                    </w:rPr>
                    <w:t>）</w:t>
                  </w:r>
                </w:p>
              </w:tc>
              <w:tc>
                <w:tcPr>
                  <w:tcW w:w="1560" w:type="dxa"/>
                  <w:vMerge w:val="continue"/>
                  <w:tcBorders>
                    <w:top w:val="nil"/>
                    <w:left w:val="single" w:color="auto" w:sz="8" w:space="0"/>
                    <w:bottom w:val="single" w:color="000000" w:sz="8" w:space="0"/>
                    <w:right w:val="single" w:color="auto" w:sz="8" w:space="0"/>
                  </w:tcBorders>
                  <w:vAlign w:val="center"/>
                </w:tcPr>
                <w:p>
                  <w:pPr>
                    <w:pStyle w:val="146"/>
                    <w:rPr>
                      <w:szCs w:val="21"/>
                    </w:rPr>
                  </w:pPr>
                </w:p>
              </w:tc>
              <w:tc>
                <w:tcPr>
                  <w:tcW w:w="1621"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6"/>
                    <w:rPr>
                      <w:szCs w:val="21"/>
                    </w:rPr>
                  </w:pPr>
                  <w:r>
                    <w:rPr>
                      <w:rFonts w:hint="eastAsia"/>
                      <w:szCs w:val="21"/>
                    </w:rPr>
                    <w:t>（</w:t>
                  </w:r>
                  <w:r>
                    <w:rPr>
                      <w:szCs w:val="21"/>
                    </w:rPr>
                    <w:t>m</w:t>
                  </w:r>
                  <w:r>
                    <w:rPr>
                      <w:szCs w:val="21"/>
                      <w:vertAlign w:val="superscript"/>
                    </w:rPr>
                    <w:t>3</w:t>
                  </w:r>
                  <w:r>
                    <w:rPr>
                      <w:szCs w:val="21"/>
                    </w:rPr>
                    <w:t>/a</w:t>
                  </w:r>
                  <w:r>
                    <w:rPr>
                      <w:rFonts w:hint="eastAsia"/>
                      <w:szCs w:val="21"/>
                    </w:rPr>
                    <w:t>）</w:t>
                  </w:r>
                </w:p>
              </w:tc>
            </w:tr>
            <w:tr>
              <w:tblPrEx>
                <w:tblCellMar>
                  <w:top w:w="0" w:type="dxa"/>
                  <w:left w:w="0" w:type="dxa"/>
                  <w:bottom w:w="0" w:type="dxa"/>
                  <w:right w:w="0" w:type="dxa"/>
                </w:tblCellMar>
              </w:tblPrEx>
              <w:trPr>
                <w:trHeight w:val="399" w:hRule="atLeast"/>
                <w:jc w:val="center"/>
              </w:trPr>
              <w:tc>
                <w:tcPr>
                  <w:tcW w:w="542" w:type="dxa"/>
                  <w:vMerge w:val="restart"/>
                  <w:tcBorders>
                    <w:top w:val="nil"/>
                    <w:left w:val="single" w:color="auto" w:sz="8" w:space="0"/>
                    <w:right w:val="single" w:color="auto" w:sz="8" w:space="0"/>
                  </w:tcBorders>
                  <w:shd w:val="clear" w:color="auto" w:fill="auto"/>
                  <w:vAlign w:val="center"/>
                </w:tcPr>
                <w:p>
                  <w:pPr>
                    <w:pStyle w:val="146"/>
                    <w:rPr>
                      <w:szCs w:val="21"/>
                    </w:rPr>
                  </w:pPr>
                  <w:r>
                    <w:rPr>
                      <w:rFonts w:hint="eastAsia"/>
                      <w:szCs w:val="21"/>
                    </w:rPr>
                    <w:t>医疗废水</w:t>
                  </w:r>
                </w:p>
              </w:tc>
              <w:tc>
                <w:tcPr>
                  <w:tcW w:w="1065" w:type="dxa"/>
                  <w:tcBorders>
                    <w:top w:val="nil"/>
                    <w:left w:val="nil"/>
                    <w:bottom w:val="single" w:color="auto" w:sz="8" w:space="0"/>
                    <w:right w:val="single" w:color="auto" w:sz="8" w:space="0"/>
                  </w:tcBorders>
                  <w:shd w:val="clear" w:color="auto" w:fill="auto"/>
                  <w:vAlign w:val="center"/>
                </w:tcPr>
                <w:p>
                  <w:pPr>
                    <w:pStyle w:val="146"/>
                    <w:rPr>
                      <w:szCs w:val="21"/>
                    </w:rPr>
                  </w:pPr>
                  <w:r>
                    <w:rPr>
                      <w:rFonts w:hint="eastAsia"/>
                      <w:szCs w:val="21"/>
                    </w:rPr>
                    <w:t>门诊用水</w:t>
                  </w:r>
                </w:p>
              </w:tc>
              <w:tc>
                <w:tcPr>
                  <w:tcW w:w="1245" w:type="dxa"/>
                  <w:tcBorders>
                    <w:top w:val="nil"/>
                    <w:left w:val="nil"/>
                    <w:bottom w:val="single" w:color="auto" w:sz="8" w:space="0"/>
                    <w:right w:val="single" w:color="auto" w:sz="8" w:space="0"/>
                  </w:tcBorders>
                  <w:shd w:val="clear" w:color="auto" w:fill="auto"/>
                  <w:vAlign w:val="center"/>
                </w:tcPr>
                <w:p>
                  <w:pPr>
                    <w:pStyle w:val="146"/>
                    <w:rPr>
                      <w:szCs w:val="21"/>
                    </w:rPr>
                  </w:pPr>
                  <w:r>
                    <w:rPr>
                      <w:szCs w:val="21"/>
                    </w:rPr>
                    <w:t>15 L/</w:t>
                  </w:r>
                  <w:r>
                    <w:rPr>
                      <w:rFonts w:hint="eastAsia"/>
                      <w:szCs w:val="21"/>
                    </w:rPr>
                    <w:t>（人</w:t>
                  </w:r>
                  <w:r>
                    <w:rPr>
                      <w:szCs w:val="21"/>
                    </w:rPr>
                    <w:t>·</w:t>
                  </w:r>
                  <w:r>
                    <w:rPr>
                      <w:rFonts w:hint="eastAsia"/>
                      <w:szCs w:val="21"/>
                    </w:rPr>
                    <w:t>次）</w:t>
                  </w:r>
                </w:p>
              </w:tc>
              <w:tc>
                <w:tcPr>
                  <w:tcW w:w="690" w:type="dxa"/>
                  <w:tcBorders>
                    <w:top w:val="nil"/>
                    <w:left w:val="nil"/>
                    <w:bottom w:val="single" w:color="auto" w:sz="8" w:space="0"/>
                    <w:right w:val="single" w:color="auto" w:sz="8" w:space="0"/>
                  </w:tcBorders>
                  <w:shd w:val="clear" w:color="auto" w:fill="auto"/>
                  <w:vAlign w:val="center"/>
                </w:tcPr>
                <w:p>
                  <w:pPr>
                    <w:pStyle w:val="146"/>
                    <w:rPr>
                      <w:szCs w:val="21"/>
                    </w:rPr>
                  </w:pPr>
                  <w:r>
                    <w:rPr>
                      <w:szCs w:val="21"/>
                    </w:rPr>
                    <w:t>100</w:t>
                  </w:r>
                </w:p>
              </w:tc>
              <w:tc>
                <w:tcPr>
                  <w:tcW w:w="855" w:type="dxa"/>
                  <w:tcBorders>
                    <w:top w:val="nil"/>
                    <w:left w:val="nil"/>
                    <w:bottom w:val="single" w:color="auto" w:sz="8" w:space="0"/>
                    <w:right w:val="single" w:color="auto" w:sz="8" w:space="0"/>
                  </w:tcBorders>
                  <w:shd w:val="clear" w:color="auto" w:fill="auto"/>
                  <w:vAlign w:val="center"/>
                </w:tcPr>
                <w:p>
                  <w:pPr>
                    <w:pStyle w:val="146"/>
                    <w:rPr>
                      <w:szCs w:val="21"/>
                    </w:rPr>
                  </w:pPr>
                  <w:r>
                    <w:rPr>
                      <w:rFonts w:hint="eastAsia"/>
                      <w:szCs w:val="21"/>
                    </w:rPr>
                    <w:t>0.7</w:t>
                  </w:r>
                </w:p>
              </w:tc>
              <w:tc>
                <w:tcPr>
                  <w:tcW w:w="855" w:type="dxa"/>
                  <w:tcBorders>
                    <w:top w:val="single" w:color="auto" w:sz="8" w:space="0"/>
                    <w:left w:val="nil"/>
                    <w:bottom w:val="single" w:color="auto" w:sz="8" w:space="0"/>
                    <w:right w:val="single" w:color="auto" w:sz="8" w:space="0"/>
                  </w:tcBorders>
                  <w:shd w:val="clear" w:color="auto" w:fill="auto"/>
                  <w:vAlign w:val="center"/>
                </w:tcPr>
                <w:p>
                  <w:pPr>
                    <w:pStyle w:val="146"/>
                    <w:rPr>
                      <w:szCs w:val="21"/>
                    </w:rPr>
                  </w:pPr>
                  <w:r>
                    <w:rPr>
                      <w:rFonts w:hint="eastAsia"/>
                      <w:szCs w:val="21"/>
                    </w:rPr>
                    <w:t>255</w:t>
                  </w:r>
                  <w:r>
                    <w:rPr>
                      <w:szCs w:val="21"/>
                    </w:rPr>
                    <w:t>.5</w:t>
                  </w:r>
                </w:p>
              </w:tc>
              <w:tc>
                <w:tcPr>
                  <w:tcW w:w="1560" w:type="dxa"/>
                  <w:tcBorders>
                    <w:top w:val="nil"/>
                    <w:left w:val="nil"/>
                    <w:bottom w:val="single" w:color="auto" w:sz="8" w:space="0"/>
                    <w:right w:val="single" w:color="auto" w:sz="8" w:space="0"/>
                  </w:tcBorders>
                  <w:shd w:val="clear" w:color="auto" w:fill="auto"/>
                  <w:vAlign w:val="center"/>
                </w:tcPr>
                <w:p>
                  <w:pPr>
                    <w:pStyle w:val="146"/>
                    <w:rPr>
                      <w:szCs w:val="21"/>
                    </w:rPr>
                  </w:pPr>
                  <w:r>
                    <w:rPr>
                      <w:rFonts w:hint="eastAsia"/>
                      <w:szCs w:val="21"/>
                    </w:rPr>
                    <w:t>0.56</w:t>
                  </w:r>
                </w:p>
              </w:tc>
              <w:tc>
                <w:tcPr>
                  <w:tcW w:w="1621" w:type="dxa"/>
                  <w:tcBorders>
                    <w:top w:val="single" w:color="auto" w:sz="8" w:space="0"/>
                    <w:left w:val="nil"/>
                    <w:bottom w:val="single" w:color="auto" w:sz="8" w:space="0"/>
                    <w:right w:val="single" w:color="auto" w:sz="8" w:space="0"/>
                  </w:tcBorders>
                  <w:shd w:val="clear" w:color="auto" w:fill="auto"/>
                  <w:vAlign w:val="center"/>
                </w:tcPr>
                <w:p>
                  <w:pPr>
                    <w:pStyle w:val="146"/>
                    <w:rPr>
                      <w:szCs w:val="21"/>
                    </w:rPr>
                  </w:pPr>
                  <w:r>
                    <w:rPr>
                      <w:rFonts w:hint="eastAsia"/>
                      <w:szCs w:val="21"/>
                    </w:rPr>
                    <w:t>204.4</w:t>
                  </w:r>
                </w:p>
              </w:tc>
            </w:tr>
            <w:tr>
              <w:tblPrEx>
                <w:tblCellMar>
                  <w:top w:w="0" w:type="dxa"/>
                  <w:left w:w="0" w:type="dxa"/>
                  <w:bottom w:w="0" w:type="dxa"/>
                  <w:right w:w="0" w:type="dxa"/>
                </w:tblCellMar>
              </w:tblPrEx>
              <w:trPr>
                <w:trHeight w:val="316" w:hRule="atLeast"/>
                <w:jc w:val="center"/>
              </w:trPr>
              <w:tc>
                <w:tcPr>
                  <w:tcW w:w="542" w:type="dxa"/>
                  <w:vMerge w:val="continue"/>
                  <w:tcBorders>
                    <w:left w:val="single" w:color="auto" w:sz="8" w:space="0"/>
                    <w:right w:val="single" w:color="auto" w:sz="8" w:space="0"/>
                  </w:tcBorders>
                  <w:vAlign w:val="center"/>
                </w:tcPr>
                <w:p>
                  <w:pPr>
                    <w:pStyle w:val="146"/>
                    <w:rPr>
                      <w:szCs w:val="21"/>
                    </w:rPr>
                  </w:pPr>
                </w:p>
              </w:tc>
              <w:tc>
                <w:tcPr>
                  <w:tcW w:w="10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6"/>
                    <w:rPr>
                      <w:szCs w:val="21"/>
                    </w:rPr>
                  </w:pPr>
                  <w:r>
                    <w:rPr>
                      <w:rFonts w:hint="eastAsia"/>
                      <w:szCs w:val="21"/>
                    </w:rPr>
                    <w:t>床位用水</w:t>
                  </w:r>
                </w:p>
              </w:tc>
              <w:tc>
                <w:tcPr>
                  <w:tcW w:w="12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6"/>
                    <w:rPr>
                      <w:szCs w:val="21"/>
                    </w:rPr>
                  </w:pPr>
                  <w:r>
                    <w:rPr>
                      <w:szCs w:val="21"/>
                    </w:rPr>
                    <w:t>150L/</w:t>
                  </w:r>
                  <w:r>
                    <w:rPr>
                      <w:rFonts w:hint="eastAsia"/>
                      <w:szCs w:val="21"/>
                    </w:rPr>
                    <w:t>（床</w:t>
                  </w:r>
                  <w:r>
                    <w:rPr>
                      <w:szCs w:val="21"/>
                    </w:rPr>
                    <w:t>·d</w:t>
                  </w:r>
                  <w:r>
                    <w:rPr>
                      <w:rFonts w:hint="eastAsia"/>
                      <w:szCs w:val="21"/>
                    </w:rPr>
                    <w:t>）</w:t>
                  </w:r>
                </w:p>
              </w:tc>
              <w:tc>
                <w:tcPr>
                  <w:tcW w:w="69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6"/>
                    <w:rPr>
                      <w:szCs w:val="21"/>
                    </w:rPr>
                  </w:pPr>
                  <w:r>
                    <w:rPr>
                      <w:rFonts w:hint="eastAsia"/>
                      <w:szCs w:val="21"/>
                    </w:rPr>
                    <w:t>72</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6"/>
                    <w:rPr>
                      <w:szCs w:val="21"/>
                    </w:rPr>
                  </w:pPr>
                  <w:r>
                    <w:rPr>
                      <w:rFonts w:hint="eastAsia"/>
                      <w:szCs w:val="21"/>
                    </w:rPr>
                    <w:t>10.8</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6"/>
                    <w:rPr>
                      <w:szCs w:val="21"/>
                    </w:rPr>
                  </w:pPr>
                  <w:r>
                    <w:rPr>
                      <w:rFonts w:hint="eastAsia"/>
                      <w:szCs w:val="21"/>
                    </w:rPr>
                    <w:t>3942</w:t>
                  </w:r>
                </w:p>
              </w:tc>
              <w:tc>
                <w:tcPr>
                  <w:tcW w:w="156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6"/>
                    <w:rPr>
                      <w:szCs w:val="21"/>
                    </w:rPr>
                  </w:pPr>
                  <w:r>
                    <w:rPr>
                      <w:rFonts w:hint="eastAsia"/>
                      <w:szCs w:val="21"/>
                    </w:rPr>
                    <w:t>8.64</w:t>
                  </w:r>
                </w:p>
              </w:tc>
              <w:tc>
                <w:tcPr>
                  <w:tcW w:w="1621" w:type="dxa"/>
                  <w:tcBorders>
                    <w:top w:val="nil"/>
                    <w:left w:val="nil"/>
                    <w:bottom w:val="single" w:color="auto" w:sz="8" w:space="0"/>
                    <w:right w:val="single" w:color="auto" w:sz="8" w:space="0"/>
                  </w:tcBorders>
                  <w:shd w:val="clear" w:color="auto" w:fill="auto"/>
                  <w:vAlign w:val="center"/>
                </w:tcPr>
                <w:p>
                  <w:pPr>
                    <w:pStyle w:val="146"/>
                    <w:rPr>
                      <w:szCs w:val="21"/>
                    </w:rPr>
                  </w:pPr>
                  <w:r>
                    <w:rPr>
                      <w:rFonts w:hint="eastAsia"/>
                      <w:szCs w:val="21"/>
                    </w:rPr>
                    <w:t>3153.6</w:t>
                  </w:r>
                </w:p>
              </w:tc>
            </w:tr>
            <w:tr>
              <w:tblPrEx>
                <w:tblCellMar>
                  <w:top w:w="0" w:type="dxa"/>
                  <w:left w:w="0" w:type="dxa"/>
                  <w:bottom w:w="0" w:type="dxa"/>
                  <w:right w:w="0" w:type="dxa"/>
                </w:tblCellMar>
              </w:tblPrEx>
              <w:trPr>
                <w:trHeight w:val="316" w:hRule="atLeast"/>
                <w:jc w:val="center"/>
              </w:trPr>
              <w:tc>
                <w:tcPr>
                  <w:tcW w:w="542" w:type="dxa"/>
                  <w:vMerge w:val="continue"/>
                  <w:tcBorders>
                    <w:left w:val="single" w:color="auto" w:sz="8" w:space="0"/>
                    <w:bottom w:val="single" w:color="000000" w:sz="8" w:space="0"/>
                    <w:right w:val="single" w:color="auto" w:sz="8" w:space="0"/>
                  </w:tcBorders>
                  <w:vAlign w:val="center"/>
                </w:tcPr>
                <w:p>
                  <w:pPr>
                    <w:pStyle w:val="146"/>
                    <w:rPr>
                      <w:szCs w:val="21"/>
                    </w:rPr>
                  </w:pPr>
                </w:p>
              </w:tc>
              <w:tc>
                <w:tcPr>
                  <w:tcW w:w="10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6"/>
                    <w:rPr>
                      <w:szCs w:val="21"/>
                    </w:rPr>
                  </w:pPr>
                  <w:r>
                    <w:rPr>
                      <w:rFonts w:hint="eastAsia"/>
                      <w:szCs w:val="21"/>
                    </w:rPr>
                    <w:t>检验用水</w:t>
                  </w:r>
                </w:p>
              </w:tc>
              <w:tc>
                <w:tcPr>
                  <w:tcW w:w="12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6"/>
                    <w:rPr>
                      <w:szCs w:val="21"/>
                    </w:rPr>
                  </w:pPr>
                  <w:r>
                    <w:rPr>
                      <w:rFonts w:hint="eastAsia"/>
                      <w:szCs w:val="21"/>
                    </w:rPr>
                    <w:t>0.1</w:t>
                  </w:r>
                  <w:r>
                    <w:rPr>
                      <w:szCs w:val="21"/>
                    </w:rPr>
                    <w:t>m</w:t>
                  </w:r>
                  <w:r>
                    <w:rPr>
                      <w:szCs w:val="21"/>
                      <w:vertAlign w:val="superscript"/>
                    </w:rPr>
                    <w:t>3</w:t>
                  </w:r>
                  <w:r>
                    <w:rPr>
                      <w:szCs w:val="21"/>
                    </w:rPr>
                    <w:t>/d</w:t>
                  </w:r>
                </w:p>
              </w:tc>
              <w:tc>
                <w:tcPr>
                  <w:tcW w:w="69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6"/>
                    <w:rPr>
                      <w:szCs w:val="21"/>
                    </w:rPr>
                  </w:pPr>
                  <w:r>
                    <w:rPr>
                      <w:rFonts w:hint="eastAsia"/>
                      <w:szCs w:val="21"/>
                    </w:rPr>
                    <w:t>/</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6"/>
                    <w:rPr>
                      <w:szCs w:val="21"/>
                    </w:rPr>
                  </w:pPr>
                  <w:r>
                    <w:rPr>
                      <w:rFonts w:hint="eastAsia"/>
                      <w:szCs w:val="21"/>
                    </w:rPr>
                    <w:t>0.1</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6"/>
                    <w:rPr>
                      <w:szCs w:val="21"/>
                    </w:rPr>
                  </w:pPr>
                  <w:r>
                    <w:rPr>
                      <w:rFonts w:hint="eastAsia"/>
                      <w:szCs w:val="21"/>
                    </w:rPr>
                    <w:t>36.5</w:t>
                  </w:r>
                </w:p>
              </w:tc>
              <w:tc>
                <w:tcPr>
                  <w:tcW w:w="156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6"/>
                    <w:rPr>
                      <w:color w:val="4F81BD" w:themeColor="accent1"/>
                      <w:szCs w:val="21"/>
                    </w:rPr>
                  </w:pPr>
                  <w:r>
                    <w:rPr>
                      <w:rFonts w:hint="eastAsia"/>
                      <w:color w:val="4F81BD" w:themeColor="accent1"/>
                      <w:szCs w:val="21"/>
                    </w:rPr>
                    <w:t>0.08（属医废，委托有资质单位处置，不计入废水排放总量）</w:t>
                  </w:r>
                </w:p>
              </w:tc>
              <w:tc>
                <w:tcPr>
                  <w:tcW w:w="1621" w:type="dxa"/>
                  <w:tcBorders>
                    <w:top w:val="nil"/>
                    <w:left w:val="nil"/>
                    <w:bottom w:val="single" w:color="auto" w:sz="8" w:space="0"/>
                    <w:right w:val="single" w:color="auto" w:sz="8" w:space="0"/>
                  </w:tcBorders>
                  <w:shd w:val="clear" w:color="auto" w:fill="auto"/>
                  <w:vAlign w:val="center"/>
                </w:tcPr>
                <w:p>
                  <w:pPr>
                    <w:pStyle w:val="146"/>
                    <w:rPr>
                      <w:color w:val="4F81BD" w:themeColor="accent1"/>
                      <w:szCs w:val="21"/>
                    </w:rPr>
                  </w:pPr>
                  <w:r>
                    <w:rPr>
                      <w:rFonts w:hint="eastAsia"/>
                      <w:color w:val="4F81BD" w:themeColor="accent1"/>
                      <w:szCs w:val="21"/>
                    </w:rPr>
                    <w:t>29.2（属医废，委托有资质单位处置，不计入废水排放总量）</w:t>
                  </w:r>
                </w:p>
              </w:tc>
            </w:tr>
            <w:tr>
              <w:tblPrEx>
                <w:tblCellMar>
                  <w:top w:w="0" w:type="dxa"/>
                  <w:left w:w="0" w:type="dxa"/>
                  <w:bottom w:w="0" w:type="dxa"/>
                  <w:right w:w="0" w:type="dxa"/>
                </w:tblCellMar>
              </w:tblPrEx>
              <w:trPr>
                <w:trHeight w:val="434" w:hRule="atLeast"/>
                <w:jc w:val="center"/>
              </w:trPr>
              <w:tc>
                <w:tcPr>
                  <w:tcW w:w="542" w:type="dxa"/>
                  <w:vMerge w:val="restart"/>
                  <w:tcBorders>
                    <w:top w:val="nil"/>
                    <w:left w:val="single" w:color="auto" w:sz="8" w:space="0"/>
                    <w:right w:val="single" w:color="auto" w:sz="8" w:space="0"/>
                  </w:tcBorders>
                  <w:shd w:val="clear" w:color="auto" w:fill="auto"/>
                  <w:vAlign w:val="center"/>
                </w:tcPr>
                <w:p>
                  <w:pPr>
                    <w:pStyle w:val="146"/>
                    <w:rPr>
                      <w:szCs w:val="21"/>
                    </w:rPr>
                  </w:pPr>
                  <w:r>
                    <w:rPr>
                      <w:rFonts w:hint="eastAsia"/>
                      <w:szCs w:val="21"/>
                    </w:rPr>
                    <w:t>生活废水</w:t>
                  </w:r>
                </w:p>
              </w:tc>
              <w:tc>
                <w:tcPr>
                  <w:tcW w:w="1065" w:type="dxa"/>
                  <w:vMerge w:val="restart"/>
                  <w:tcBorders>
                    <w:top w:val="single" w:color="auto" w:sz="8" w:space="0"/>
                    <w:left w:val="nil"/>
                    <w:right w:val="single" w:color="auto" w:sz="8" w:space="0"/>
                  </w:tcBorders>
                  <w:shd w:val="clear" w:color="auto" w:fill="auto"/>
                  <w:vAlign w:val="center"/>
                </w:tcPr>
                <w:p>
                  <w:pPr>
                    <w:pStyle w:val="146"/>
                    <w:rPr>
                      <w:szCs w:val="21"/>
                    </w:rPr>
                  </w:pPr>
                  <w:r>
                    <w:rPr>
                      <w:rFonts w:hint="eastAsia"/>
                      <w:szCs w:val="21"/>
                    </w:rPr>
                    <w:t>职工用水</w:t>
                  </w:r>
                </w:p>
              </w:tc>
              <w:tc>
                <w:tcPr>
                  <w:tcW w:w="1245" w:type="dxa"/>
                  <w:vMerge w:val="restart"/>
                  <w:tcBorders>
                    <w:top w:val="single" w:color="auto" w:sz="8" w:space="0"/>
                    <w:left w:val="nil"/>
                    <w:right w:val="single" w:color="auto" w:sz="8" w:space="0"/>
                  </w:tcBorders>
                  <w:shd w:val="clear" w:color="auto" w:fill="auto"/>
                  <w:vAlign w:val="center"/>
                </w:tcPr>
                <w:p>
                  <w:pPr>
                    <w:pStyle w:val="146"/>
                    <w:rPr>
                      <w:szCs w:val="21"/>
                    </w:rPr>
                  </w:pPr>
                  <w:r>
                    <w:rPr>
                      <w:szCs w:val="21"/>
                    </w:rPr>
                    <w:t>20L/</w:t>
                  </w:r>
                  <w:r>
                    <w:rPr>
                      <w:rFonts w:hint="eastAsia"/>
                      <w:szCs w:val="21"/>
                    </w:rPr>
                    <w:t>（人</w:t>
                  </w:r>
                  <w:r>
                    <w:rPr>
                      <w:szCs w:val="21"/>
                    </w:rPr>
                    <w:t>·d</w:t>
                  </w:r>
                  <w:r>
                    <w:rPr>
                      <w:rFonts w:hint="eastAsia"/>
                      <w:szCs w:val="21"/>
                    </w:rPr>
                    <w:t>）</w:t>
                  </w:r>
                </w:p>
              </w:tc>
              <w:tc>
                <w:tcPr>
                  <w:tcW w:w="690" w:type="dxa"/>
                  <w:vMerge w:val="restart"/>
                  <w:tcBorders>
                    <w:top w:val="single" w:color="auto" w:sz="8" w:space="0"/>
                    <w:left w:val="nil"/>
                    <w:right w:val="single" w:color="auto" w:sz="8" w:space="0"/>
                  </w:tcBorders>
                  <w:shd w:val="clear" w:color="auto" w:fill="auto"/>
                  <w:vAlign w:val="center"/>
                </w:tcPr>
                <w:p>
                  <w:pPr>
                    <w:pStyle w:val="146"/>
                    <w:rPr>
                      <w:szCs w:val="21"/>
                    </w:rPr>
                  </w:pPr>
                  <w:r>
                    <w:rPr>
                      <w:rFonts w:hint="eastAsia"/>
                      <w:szCs w:val="21"/>
                    </w:rPr>
                    <w:t>24</w:t>
                  </w:r>
                </w:p>
              </w:tc>
              <w:tc>
                <w:tcPr>
                  <w:tcW w:w="855" w:type="dxa"/>
                  <w:vMerge w:val="restart"/>
                  <w:tcBorders>
                    <w:top w:val="single" w:color="auto" w:sz="8" w:space="0"/>
                    <w:left w:val="nil"/>
                    <w:right w:val="single" w:color="auto" w:sz="8" w:space="0"/>
                  </w:tcBorders>
                  <w:shd w:val="clear" w:color="auto" w:fill="auto"/>
                  <w:vAlign w:val="center"/>
                </w:tcPr>
                <w:p>
                  <w:pPr>
                    <w:pStyle w:val="146"/>
                    <w:rPr>
                      <w:szCs w:val="21"/>
                    </w:rPr>
                  </w:pPr>
                  <w:r>
                    <w:rPr>
                      <w:rFonts w:hint="eastAsia"/>
                      <w:szCs w:val="21"/>
                    </w:rPr>
                    <w:t>0.48</w:t>
                  </w:r>
                </w:p>
              </w:tc>
              <w:tc>
                <w:tcPr>
                  <w:tcW w:w="855" w:type="dxa"/>
                  <w:vMerge w:val="restart"/>
                  <w:tcBorders>
                    <w:top w:val="single" w:color="auto" w:sz="8" w:space="0"/>
                    <w:left w:val="nil"/>
                    <w:right w:val="single" w:color="auto" w:sz="8" w:space="0"/>
                  </w:tcBorders>
                  <w:shd w:val="clear" w:color="auto" w:fill="auto"/>
                  <w:vAlign w:val="center"/>
                </w:tcPr>
                <w:p>
                  <w:pPr>
                    <w:pStyle w:val="146"/>
                    <w:rPr>
                      <w:szCs w:val="21"/>
                    </w:rPr>
                  </w:pPr>
                  <w:r>
                    <w:rPr>
                      <w:rFonts w:hint="eastAsia"/>
                      <w:szCs w:val="21"/>
                    </w:rPr>
                    <w:t>175.2</w:t>
                  </w:r>
                </w:p>
              </w:tc>
              <w:tc>
                <w:tcPr>
                  <w:tcW w:w="1560" w:type="dxa"/>
                  <w:tcBorders>
                    <w:top w:val="single" w:color="auto" w:sz="8" w:space="0"/>
                    <w:left w:val="nil"/>
                    <w:bottom w:val="single" w:color="auto" w:sz="8" w:space="0"/>
                    <w:right w:val="single" w:color="auto" w:sz="8" w:space="0"/>
                  </w:tcBorders>
                  <w:shd w:val="clear" w:color="auto" w:fill="auto"/>
                  <w:vAlign w:val="center"/>
                </w:tcPr>
                <w:p>
                  <w:pPr>
                    <w:pStyle w:val="146"/>
                    <w:rPr>
                      <w:szCs w:val="21"/>
                    </w:rPr>
                  </w:pPr>
                  <w:r>
                    <w:rPr>
                      <w:rFonts w:hint="eastAsia"/>
                      <w:szCs w:val="21"/>
                    </w:rPr>
                    <w:t>0.038（含油废水）</w:t>
                  </w:r>
                </w:p>
              </w:tc>
              <w:tc>
                <w:tcPr>
                  <w:tcW w:w="1621" w:type="dxa"/>
                  <w:tcBorders>
                    <w:top w:val="nil"/>
                    <w:left w:val="nil"/>
                    <w:bottom w:val="single" w:color="auto" w:sz="8" w:space="0"/>
                    <w:right w:val="single" w:color="auto" w:sz="8" w:space="0"/>
                  </w:tcBorders>
                  <w:shd w:val="clear" w:color="auto" w:fill="auto"/>
                  <w:vAlign w:val="center"/>
                </w:tcPr>
                <w:p>
                  <w:pPr>
                    <w:pStyle w:val="146"/>
                    <w:rPr>
                      <w:szCs w:val="21"/>
                    </w:rPr>
                  </w:pPr>
                  <w:r>
                    <w:rPr>
                      <w:rFonts w:hint="eastAsia"/>
                      <w:szCs w:val="21"/>
                    </w:rPr>
                    <w:t>13.87（含油废水）</w:t>
                  </w:r>
                </w:p>
              </w:tc>
            </w:tr>
            <w:tr>
              <w:tblPrEx>
                <w:tblCellMar>
                  <w:top w:w="0" w:type="dxa"/>
                  <w:left w:w="0" w:type="dxa"/>
                  <w:bottom w:w="0" w:type="dxa"/>
                  <w:right w:w="0" w:type="dxa"/>
                </w:tblCellMar>
              </w:tblPrEx>
              <w:trPr>
                <w:trHeight w:val="434" w:hRule="atLeast"/>
                <w:jc w:val="center"/>
              </w:trPr>
              <w:tc>
                <w:tcPr>
                  <w:tcW w:w="542" w:type="dxa"/>
                  <w:vMerge w:val="continue"/>
                  <w:tcBorders>
                    <w:left w:val="single" w:color="auto" w:sz="8" w:space="0"/>
                    <w:right w:val="single" w:color="auto" w:sz="8" w:space="0"/>
                  </w:tcBorders>
                  <w:shd w:val="clear" w:color="auto" w:fill="auto"/>
                  <w:vAlign w:val="center"/>
                </w:tcPr>
                <w:p>
                  <w:pPr>
                    <w:pStyle w:val="146"/>
                    <w:rPr>
                      <w:szCs w:val="21"/>
                    </w:rPr>
                  </w:pPr>
                </w:p>
              </w:tc>
              <w:tc>
                <w:tcPr>
                  <w:tcW w:w="1065" w:type="dxa"/>
                  <w:vMerge w:val="continue"/>
                  <w:tcBorders>
                    <w:left w:val="nil"/>
                    <w:bottom w:val="single" w:color="auto" w:sz="8" w:space="0"/>
                    <w:right w:val="single" w:color="auto" w:sz="8" w:space="0"/>
                  </w:tcBorders>
                  <w:shd w:val="clear" w:color="auto" w:fill="auto"/>
                  <w:vAlign w:val="center"/>
                </w:tcPr>
                <w:p>
                  <w:pPr>
                    <w:pStyle w:val="146"/>
                    <w:rPr>
                      <w:szCs w:val="21"/>
                    </w:rPr>
                  </w:pPr>
                </w:p>
              </w:tc>
              <w:tc>
                <w:tcPr>
                  <w:tcW w:w="1245" w:type="dxa"/>
                  <w:vMerge w:val="continue"/>
                  <w:tcBorders>
                    <w:left w:val="nil"/>
                    <w:bottom w:val="single" w:color="auto" w:sz="8" w:space="0"/>
                    <w:right w:val="single" w:color="auto" w:sz="8" w:space="0"/>
                  </w:tcBorders>
                  <w:shd w:val="clear" w:color="auto" w:fill="auto"/>
                  <w:vAlign w:val="center"/>
                </w:tcPr>
                <w:p>
                  <w:pPr>
                    <w:pStyle w:val="146"/>
                    <w:rPr>
                      <w:szCs w:val="21"/>
                    </w:rPr>
                  </w:pPr>
                </w:p>
              </w:tc>
              <w:tc>
                <w:tcPr>
                  <w:tcW w:w="690" w:type="dxa"/>
                  <w:vMerge w:val="continue"/>
                  <w:tcBorders>
                    <w:left w:val="nil"/>
                    <w:bottom w:val="single" w:color="auto" w:sz="8" w:space="0"/>
                    <w:right w:val="single" w:color="auto" w:sz="8" w:space="0"/>
                  </w:tcBorders>
                  <w:shd w:val="clear" w:color="auto" w:fill="auto"/>
                  <w:vAlign w:val="center"/>
                </w:tcPr>
                <w:p>
                  <w:pPr>
                    <w:pStyle w:val="146"/>
                    <w:rPr>
                      <w:szCs w:val="21"/>
                    </w:rPr>
                  </w:pPr>
                </w:p>
              </w:tc>
              <w:tc>
                <w:tcPr>
                  <w:tcW w:w="855" w:type="dxa"/>
                  <w:vMerge w:val="continue"/>
                  <w:tcBorders>
                    <w:left w:val="nil"/>
                    <w:bottom w:val="single" w:color="auto" w:sz="8" w:space="0"/>
                    <w:right w:val="single" w:color="auto" w:sz="8" w:space="0"/>
                  </w:tcBorders>
                  <w:shd w:val="clear" w:color="auto" w:fill="auto"/>
                  <w:vAlign w:val="center"/>
                </w:tcPr>
                <w:p>
                  <w:pPr>
                    <w:pStyle w:val="146"/>
                    <w:rPr>
                      <w:szCs w:val="21"/>
                    </w:rPr>
                  </w:pPr>
                </w:p>
              </w:tc>
              <w:tc>
                <w:tcPr>
                  <w:tcW w:w="855" w:type="dxa"/>
                  <w:vMerge w:val="continue"/>
                  <w:tcBorders>
                    <w:left w:val="nil"/>
                    <w:bottom w:val="single" w:color="auto" w:sz="8" w:space="0"/>
                    <w:right w:val="single" w:color="auto" w:sz="8" w:space="0"/>
                  </w:tcBorders>
                  <w:shd w:val="clear" w:color="auto" w:fill="auto"/>
                  <w:vAlign w:val="center"/>
                </w:tcPr>
                <w:p>
                  <w:pPr>
                    <w:pStyle w:val="146"/>
                    <w:rPr>
                      <w:szCs w:val="21"/>
                    </w:rPr>
                  </w:pPr>
                </w:p>
              </w:tc>
              <w:tc>
                <w:tcPr>
                  <w:tcW w:w="1560" w:type="dxa"/>
                  <w:tcBorders>
                    <w:top w:val="single" w:color="auto" w:sz="8" w:space="0"/>
                    <w:left w:val="nil"/>
                    <w:bottom w:val="single" w:color="auto" w:sz="8" w:space="0"/>
                    <w:right w:val="single" w:color="auto" w:sz="8" w:space="0"/>
                  </w:tcBorders>
                  <w:shd w:val="clear" w:color="auto" w:fill="auto"/>
                  <w:vAlign w:val="center"/>
                </w:tcPr>
                <w:p>
                  <w:pPr>
                    <w:pStyle w:val="146"/>
                    <w:rPr>
                      <w:szCs w:val="21"/>
                    </w:rPr>
                  </w:pPr>
                  <w:r>
                    <w:rPr>
                      <w:rFonts w:hint="eastAsia"/>
                      <w:szCs w:val="21"/>
                    </w:rPr>
                    <w:t>0.346</w:t>
                  </w:r>
                </w:p>
              </w:tc>
              <w:tc>
                <w:tcPr>
                  <w:tcW w:w="1621" w:type="dxa"/>
                  <w:tcBorders>
                    <w:top w:val="nil"/>
                    <w:left w:val="nil"/>
                    <w:bottom w:val="single" w:color="auto" w:sz="8" w:space="0"/>
                    <w:right w:val="single" w:color="auto" w:sz="8" w:space="0"/>
                  </w:tcBorders>
                  <w:shd w:val="clear" w:color="auto" w:fill="auto"/>
                  <w:vAlign w:val="center"/>
                </w:tcPr>
                <w:p>
                  <w:pPr>
                    <w:pStyle w:val="146"/>
                    <w:rPr>
                      <w:szCs w:val="21"/>
                    </w:rPr>
                  </w:pPr>
                  <w:r>
                    <w:rPr>
                      <w:rFonts w:hint="eastAsia"/>
                      <w:szCs w:val="21"/>
                    </w:rPr>
                    <w:t>126.29</w:t>
                  </w:r>
                </w:p>
              </w:tc>
            </w:tr>
            <w:tr>
              <w:tblPrEx>
                <w:tblCellMar>
                  <w:top w:w="0" w:type="dxa"/>
                  <w:left w:w="0" w:type="dxa"/>
                  <w:bottom w:w="0" w:type="dxa"/>
                  <w:right w:w="0" w:type="dxa"/>
                </w:tblCellMar>
              </w:tblPrEx>
              <w:trPr>
                <w:trHeight w:val="434" w:hRule="atLeast"/>
                <w:jc w:val="center"/>
              </w:trPr>
              <w:tc>
                <w:tcPr>
                  <w:tcW w:w="542" w:type="dxa"/>
                  <w:vMerge w:val="continue"/>
                  <w:tcBorders>
                    <w:left w:val="single" w:color="auto" w:sz="8" w:space="0"/>
                    <w:right w:val="single" w:color="auto" w:sz="8" w:space="0"/>
                  </w:tcBorders>
                  <w:shd w:val="clear" w:color="auto" w:fill="auto"/>
                  <w:vAlign w:val="center"/>
                </w:tcPr>
                <w:p>
                  <w:pPr>
                    <w:pStyle w:val="146"/>
                    <w:rPr>
                      <w:szCs w:val="21"/>
                    </w:rPr>
                  </w:pPr>
                </w:p>
              </w:tc>
              <w:tc>
                <w:tcPr>
                  <w:tcW w:w="1065" w:type="dxa"/>
                  <w:vMerge w:val="restart"/>
                  <w:tcBorders>
                    <w:left w:val="nil"/>
                    <w:right w:val="single" w:color="auto" w:sz="8" w:space="0"/>
                  </w:tcBorders>
                  <w:shd w:val="clear" w:color="auto" w:fill="auto"/>
                  <w:vAlign w:val="center"/>
                </w:tcPr>
                <w:p>
                  <w:pPr>
                    <w:pStyle w:val="146"/>
                    <w:rPr>
                      <w:szCs w:val="21"/>
                    </w:rPr>
                  </w:pPr>
                  <w:r>
                    <w:rPr>
                      <w:rFonts w:hint="eastAsia"/>
                      <w:szCs w:val="21"/>
                    </w:rPr>
                    <w:t xml:space="preserve">患者用水 </w:t>
                  </w:r>
                </w:p>
              </w:tc>
              <w:tc>
                <w:tcPr>
                  <w:tcW w:w="1245" w:type="dxa"/>
                  <w:vMerge w:val="restart"/>
                  <w:tcBorders>
                    <w:left w:val="nil"/>
                    <w:right w:val="single" w:color="auto" w:sz="8" w:space="0"/>
                  </w:tcBorders>
                  <w:shd w:val="clear" w:color="auto" w:fill="auto"/>
                  <w:vAlign w:val="center"/>
                </w:tcPr>
                <w:p>
                  <w:pPr>
                    <w:pStyle w:val="146"/>
                    <w:rPr>
                      <w:szCs w:val="21"/>
                    </w:rPr>
                  </w:pPr>
                  <w:r>
                    <w:rPr>
                      <w:szCs w:val="21"/>
                    </w:rPr>
                    <w:t>20L/</w:t>
                  </w:r>
                  <w:r>
                    <w:rPr>
                      <w:rFonts w:hint="eastAsia"/>
                      <w:szCs w:val="21"/>
                    </w:rPr>
                    <w:t>（人</w:t>
                  </w:r>
                  <w:r>
                    <w:rPr>
                      <w:szCs w:val="21"/>
                    </w:rPr>
                    <w:t>·d</w:t>
                  </w:r>
                  <w:r>
                    <w:rPr>
                      <w:rFonts w:hint="eastAsia"/>
                      <w:szCs w:val="21"/>
                    </w:rPr>
                    <w:t>）</w:t>
                  </w:r>
                </w:p>
              </w:tc>
              <w:tc>
                <w:tcPr>
                  <w:tcW w:w="690" w:type="dxa"/>
                  <w:vMerge w:val="restart"/>
                  <w:tcBorders>
                    <w:left w:val="nil"/>
                    <w:right w:val="single" w:color="auto" w:sz="8" w:space="0"/>
                  </w:tcBorders>
                  <w:shd w:val="clear" w:color="auto" w:fill="auto"/>
                  <w:vAlign w:val="center"/>
                </w:tcPr>
                <w:p>
                  <w:pPr>
                    <w:pStyle w:val="146"/>
                    <w:rPr>
                      <w:szCs w:val="21"/>
                    </w:rPr>
                  </w:pPr>
                  <w:r>
                    <w:rPr>
                      <w:rFonts w:hint="eastAsia"/>
                      <w:szCs w:val="21"/>
                    </w:rPr>
                    <w:t>144</w:t>
                  </w:r>
                </w:p>
              </w:tc>
              <w:tc>
                <w:tcPr>
                  <w:tcW w:w="855" w:type="dxa"/>
                  <w:vMerge w:val="restart"/>
                  <w:tcBorders>
                    <w:left w:val="nil"/>
                    <w:right w:val="single" w:color="auto" w:sz="8" w:space="0"/>
                  </w:tcBorders>
                  <w:shd w:val="clear" w:color="auto" w:fill="auto"/>
                  <w:vAlign w:val="center"/>
                </w:tcPr>
                <w:p>
                  <w:pPr>
                    <w:pStyle w:val="146"/>
                    <w:rPr>
                      <w:szCs w:val="21"/>
                    </w:rPr>
                  </w:pPr>
                  <w:r>
                    <w:rPr>
                      <w:rFonts w:hint="eastAsia"/>
                      <w:szCs w:val="21"/>
                    </w:rPr>
                    <w:t>2.88</w:t>
                  </w:r>
                </w:p>
              </w:tc>
              <w:tc>
                <w:tcPr>
                  <w:tcW w:w="855" w:type="dxa"/>
                  <w:vMerge w:val="restart"/>
                  <w:tcBorders>
                    <w:left w:val="nil"/>
                    <w:right w:val="single" w:color="auto" w:sz="8" w:space="0"/>
                  </w:tcBorders>
                  <w:shd w:val="clear" w:color="auto" w:fill="auto"/>
                  <w:vAlign w:val="center"/>
                </w:tcPr>
                <w:p>
                  <w:pPr>
                    <w:pStyle w:val="146"/>
                    <w:rPr>
                      <w:szCs w:val="21"/>
                    </w:rPr>
                  </w:pPr>
                  <w:r>
                    <w:rPr>
                      <w:rFonts w:hint="eastAsia"/>
                      <w:szCs w:val="21"/>
                    </w:rPr>
                    <w:t>1051.2</w:t>
                  </w:r>
                </w:p>
              </w:tc>
              <w:tc>
                <w:tcPr>
                  <w:tcW w:w="1560" w:type="dxa"/>
                  <w:tcBorders>
                    <w:top w:val="single" w:color="auto" w:sz="8" w:space="0"/>
                    <w:left w:val="nil"/>
                    <w:bottom w:val="single" w:color="auto" w:sz="8" w:space="0"/>
                    <w:right w:val="single" w:color="auto" w:sz="8" w:space="0"/>
                  </w:tcBorders>
                  <w:shd w:val="clear" w:color="auto" w:fill="auto"/>
                  <w:vAlign w:val="center"/>
                </w:tcPr>
                <w:p>
                  <w:pPr>
                    <w:pStyle w:val="146"/>
                    <w:rPr>
                      <w:szCs w:val="21"/>
                    </w:rPr>
                  </w:pPr>
                  <w:r>
                    <w:rPr>
                      <w:rFonts w:hint="eastAsia"/>
                      <w:szCs w:val="21"/>
                    </w:rPr>
                    <w:t>0.23（含油废水）</w:t>
                  </w:r>
                </w:p>
              </w:tc>
              <w:tc>
                <w:tcPr>
                  <w:tcW w:w="1621" w:type="dxa"/>
                  <w:tcBorders>
                    <w:top w:val="nil"/>
                    <w:left w:val="nil"/>
                    <w:bottom w:val="single" w:color="auto" w:sz="8" w:space="0"/>
                    <w:right w:val="single" w:color="auto" w:sz="8" w:space="0"/>
                  </w:tcBorders>
                  <w:shd w:val="clear" w:color="auto" w:fill="auto"/>
                  <w:vAlign w:val="center"/>
                </w:tcPr>
                <w:p>
                  <w:pPr>
                    <w:pStyle w:val="146"/>
                    <w:rPr>
                      <w:szCs w:val="21"/>
                    </w:rPr>
                  </w:pPr>
                  <w:r>
                    <w:rPr>
                      <w:rFonts w:hint="eastAsia"/>
                      <w:szCs w:val="21"/>
                    </w:rPr>
                    <w:t>83.95（含油废水）</w:t>
                  </w:r>
                </w:p>
              </w:tc>
            </w:tr>
            <w:tr>
              <w:tblPrEx>
                <w:tblCellMar>
                  <w:top w:w="0" w:type="dxa"/>
                  <w:left w:w="0" w:type="dxa"/>
                  <w:bottom w:w="0" w:type="dxa"/>
                  <w:right w:w="0" w:type="dxa"/>
                </w:tblCellMar>
              </w:tblPrEx>
              <w:trPr>
                <w:trHeight w:val="434" w:hRule="atLeast"/>
                <w:jc w:val="center"/>
              </w:trPr>
              <w:tc>
                <w:tcPr>
                  <w:tcW w:w="542" w:type="dxa"/>
                  <w:vMerge w:val="continue"/>
                  <w:tcBorders>
                    <w:left w:val="single" w:color="auto" w:sz="8" w:space="0"/>
                    <w:bottom w:val="single" w:color="000000" w:sz="8" w:space="0"/>
                    <w:right w:val="single" w:color="auto" w:sz="8" w:space="0"/>
                  </w:tcBorders>
                  <w:shd w:val="clear" w:color="auto" w:fill="auto"/>
                  <w:vAlign w:val="center"/>
                </w:tcPr>
                <w:p>
                  <w:pPr>
                    <w:pStyle w:val="146"/>
                    <w:rPr>
                      <w:szCs w:val="21"/>
                    </w:rPr>
                  </w:pPr>
                </w:p>
              </w:tc>
              <w:tc>
                <w:tcPr>
                  <w:tcW w:w="1065" w:type="dxa"/>
                  <w:vMerge w:val="continue"/>
                  <w:tcBorders>
                    <w:left w:val="nil"/>
                    <w:bottom w:val="single" w:color="auto" w:sz="8" w:space="0"/>
                    <w:right w:val="single" w:color="auto" w:sz="8" w:space="0"/>
                  </w:tcBorders>
                  <w:shd w:val="clear" w:color="auto" w:fill="auto"/>
                  <w:vAlign w:val="center"/>
                </w:tcPr>
                <w:p>
                  <w:pPr>
                    <w:pStyle w:val="146"/>
                    <w:rPr>
                      <w:szCs w:val="21"/>
                    </w:rPr>
                  </w:pPr>
                </w:p>
              </w:tc>
              <w:tc>
                <w:tcPr>
                  <w:tcW w:w="1245" w:type="dxa"/>
                  <w:vMerge w:val="continue"/>
                  <w:tcBorders>
                    <w:left w:val="nil"/>
                    <w:bottom w:val="single" w:color="auto" w:sz="8" w:space="0"/>
                    <w:right w:val="single" w:color="auto" w:sz="8" w:space="0"/>
                  </w:tcBorders>
                  <w:shd w:val="clear" w:color="auto" w:fill="auto"/>
                  <w:vAlign w:val="center"/>
                </w:tcPr>
                <w:p>
                  <w:pPr>
                    <w:pStyle w:val="146"/>
                    <w:rPr>
                      <w:szCs w:val="21"/>
                    </w:rPr>
                  </w:pPr>
                </w:p>
              </w:tc>
              <w:tc>
                <w:tcPr>
                  <w:tcW w:w="690" w:type="dxa"/>
                  <w:vMerge w:val="continue"/>
                  <w:tcBorders>
                    <w:left w:val="nil"/>
                    <w:bottom w:val="single" w:color="auto" w:sz="8" w:space="0"/>
                    <w:right w:val="single" w:color="auto" w:sz="8" w:space="0"/>
                  </w:tcBorders>
                  <w:shd w:val="clear" w:color="auto" w:fill="auto"/>
                  <w:vAlign w:val="center"/>
                </w:tcPr>
                <w:p>
                  <w:pPr>
                    <w:pStyle w:val="146"/>
                    <w:rPr>
                      <w:szCs w:val="21"/>
                    </w:rPr>
                  </w:pPr>
                </w:p>
              </w:tc>
              <w:tc>
                <w:tcPr>
                  <w:tcW w:w="855" w:type="dxa"/>
                  <w:vMerge w:val="continue"/>
                  <w:tcBorders>
                    <w:left w:val="nil"/>
                    <w:bottom w:val="single" w:color="auto" w:sz="8" w:space="0"/>
                    <w:right w:val="single" w:color="auto" w:sz="8" w:space="0"/>
                  </w:tcBorders>
                  <w:shd w:val="clear" w:color="auto" w:fill="auto"/>
                  <w:vAlign w:val="center"/>
                </w:tcPr>
                <w:p>
                  <w:pPr>
                    <w:pStyle w:val="146"/>
                    <w:rPr>
                      <w:szCs w:val="21"/>
                    </w:rPr>
                  </w:pPr>
                </w:p>
              </w:tc>
              <w:tc>
                <w:tcPr>
                  <w:tcW w:w="855" w:type="dxa"/>
                  <w:vMerge w:val="continue"/>
                  <w:tcBorders>
                    <w:left w:val="nil"/>
                    <w:bottom w:val="single" w:color="auto" w:sz="8" w:space="0"/>
                    <w:right w:val="single" w:color="auto" w:sz="8" w:space="0"/>
                  </w:tcBorders>
                  <w:shd w:val="clear" w:color="auto" w:fill="auto"/>
                  <w:vAlign w:val="center"/>
                </w:tcPr>
                <w:p>
                  <w:pPr>
                    <w:pStyle w:val="146"/>
                    <w:rPr>
                      <w:szCs w:val="21"/>
                    </w:rPr>
                  </w:pPr>
                </w:p>
              </w:tc>
              <w:tc>
                <w:tcPr>
                  <w:tcW w:w="1560" w:type="dxa"/>
                  <w:tcBorders>
                    <w:top w:val="single" w:color="auto" w:sz="8" w:space="0"/>
                    <w:left w:val="nil"/>
                    <w:bottom w:val="single" w:color="auto" w:sz="8" w:space="0"/>
                    <w:right w:val="single" w:color="auto" w:sz="8" w:space="0"/>
                  </w:tcBorders>
                  <w:shd w:val="clear" w:color="auto" w:fill="auto"/>
                  <w:vAlign w:val="center"/>
                </w:tcPr>
                <w:p>
                  <w:pPr>
                    <w:pStyle w:val="146"/>
                    <w:rPr>
                      <w:szCs w:val="21"/>
                    </w:rPr>
                  </w:pPr>
                  <w:r>
                    <w:rPr>
                      <w:rFonts w:hint="eastAsia"/>
                      <w:szCs w:val="21"/>
                    </w:rPr>
                    <w:t>2.074</w:t>
                  </w:r>
                </w:p>
              </w:tc>
              <w:tc>
                <w:tcPr>
                  <w:tcW w:w="1621" w:type="dxa"/>
                  <w:tcBorders>
                    <w:top w:val="nil"/>
                    <w:left w:val="nil"/>
                    <w:bottom w:val="single" w:color="auto" w:sz="8" w:space="0"/>
                    <w:right w:val="single" w:color="auto" w:sz="8" w:space="0"/>
                  </w:tcBorders>
                  <w:shd w:val="clear" w:color="auto" w:fill="auto"/>
                  <w:vAlign w:val="center"/>
                </w:tcPr>
                <w:p>
                  <w:pPr>
                    <w:pStyle w:val="146"/>
                    <w:rPr>
                      <w:szCs w:val="21"/>
                    </w:rPr>
                  </w:pPr>
                  <w:r>
                    <w:rPr>
                      <w:rFonts w:hint="eastAsia"/>
                      <w:szCs w:val="21"/>
                    </w:rPr>
                    <w:t>757.01</w:t>
                  </w:r>
                </w:p>
              </w:tc>
            </w:tr>
            <w:tr>
              <w:tblPrEx>
                <w:tblCellMar>
                  <w:top w:w="0" w:type="dxa"/>
                  <w:left w:w="0" w:type="dxa"/>
                  <w:bottom w:w="0" w:type="dxa"/>
                  <w:right w:w="0" w:type="dxa"/>
                </w:tblCellMar>
              </w:tblPrEx>
              <w:trPr>
                <w:trHeight w:val="434" w:hRule="atLeast"/>
                <w:jc w:val="center"/>
              </w:trPr>
              <w:tc>
                <w:tcPr>
                  <w:tcW w:w="542" w:type="dxa"/>
                  <w:tcBorders>
                    <w:left w:val="single" w:color="auto" w:sz="8" w:space="0"/>
                    <w:bottom w:val="single" w:color="000000" w:sz="8" w:space="0"/>
                    <w:right w:val="single" w:color="auto" w:sz="8" w:space="0"/>
                  </w:tcBorders>
                  <w:shd w:val="clear" w:color="auto" w:fill="auto"/>
                  <w:vAlign w:val="center"/>
                </w:tcPr>
                <w:p>
                  <w:pPr>
                    <w:pStyle w:val="146"/>
                    <w:rPr>
                      <w:szCs w:val="21"/>
                    </w:rPr>
                  </w:pPr>
                  <w:r>
                    <w:rPr>
                      <w:rFonts w:hint="eastAsia"/>
                      <w:szCs w:val="21"/>
                    </w:rPr>
                    <w:t>绿化</w:t>
                  </w:r>
                </w:p>
              </w:tc>
              <w:tc>
                <w:tcPr>
                  <w:tcW w:w="1065" w:type="dxa"/>
                  <w:tcBorders>
                    <w:left w:val="nil"/>
                    <w:bottom w:val="single" w:color="auto" w:sz="8" w:space="0"/>
                    <w:right w:val="single" w:color="auto" w:sz="8" w:space="0"/>
                  </w:tcBorders>
                  <w:shd w:val="clear" w:color="auto" w:fill="auto"/>
                  <w:vAlign w:val="center"/>
                </w:tcPr>
                <w:p>
                  <w:pPr>
                    <w:pStyle w:val="146"/>
                    <w:rPr>
                      <w:szCs w:val="21"/>
                    </w:rPr>
                  </w:pPr>
                  <w:r>
                    <w:rPr>
                      <w:rFonts w:hint="eastAsia"/>
                      <w:szCs w:val="21"/>
                    </w:rPr>
                    <w:t>绿化用水</w:t>
                  </w:r>
                </w:p>
              </w:tc>
              <w:tc>
                <w:tcPr>
                  <w:tcW w:w="1245" w:type="dxa"/>
                  <w:tcBorders>
                    <w:left w:val="nil"/>
                    <w:bottom w:val="single" w:color="auto" w:sz="8" w:space="0"/>
                    <w:right w:val="single" w:color="auto" w:sz="8" w:space="0"/>
                  </w:tcBorders>
                  <w:shd w:val="clear" w:color="auto" w:fill="auto"/>
                  <w:vAlign w:val="center"/>
                </w:tcPr>
                <w:p>
                  <w:pPr>
                    <w:pStyle w:val="146"/>
                    <w:rPr>
                      <w:szCs w:val="21"/>
                    </w:rPr>
                  </w:pPr>
                  <w:r>
                    <w:rPr>
                      <w:rFonts w:hint="eastAsia"/>
                      <w:szCs w:val="21"/>
                    </w:rPr>
                    <w:t>2</w:t>
                  </w:r>
                  <w:r>
                    <w:rPr>
                      <w:szCs w:val="21"/>
                    </w:rPr>
                    <w:t>L/</w:t>
                  </w:r>
                  <w:r>
                    <w:rPr>
                      <w:bCs/>
                      <w:szCs w:val="21"/>
                    </w:rPr>
                    <w:t>m</w:t>
                  </w:r>
                  <w:r>
                    <w:rPr>
                      <w:bCs/>
                      <w:szCs w:val="21"/>
                      <w:vertAlign w:val="superscript"/>
                    </w:rPr>
                    <w:t>2</w:t>
                  </w:r>
                  <w:r>
                    <w:rPr>
                      <w:szCs w:val="21"/>
                    </w:rPr>
                    <w:t>·</w:t>
                  </w:r>
                  <w:r>
                    <w:rPr>
                      <w:rFonts w:hint="eastAsia"/>
                      <w:szCs w:val="21"/>
                    </w:rPr>
                    <w:t>次</w:t>
                  </w:r>
                </w:p>
              </w:tc>
              <w:tc>
                <w:tcPr>
                  <w:tcW w:w="690" w:type="dxa"/>
                  <w:tcBorders>
                    <w:left w:val="nil"/>
                    <w:bottom w:val="single" w:color="auto" w:sz="8" w:space="0"/>
                    <w:right w:val="single" w:color="auto" w:sz="8" w:space="0"/>
                  </w:tcBorders>
                  <w:shd w:val="clear" w:color="auto" w:fill="auto"/>
                  <w:vAlign w:val="center"/>
                </w:tcPr>
                <w:p>
                  <w:pPr>
                    <w:pStyle w:val="146"/>
                    <w:rPr>
                      <w:szCs w:val="21"/>
                    </w:rPr>
                  </w:pPr>
                  <w:r>
                    <w:rPr>
                      <w:rFonts w:hint="eastAsia"/>
                      <w:szCs w:val="21"/>
                    </w:rPr>
                    <w:t>100m</w:t>
                  </w:r>
                  <w:r>
                    <w:rPr>
                      <w:rFonts w:hint="eastAsia"/>
                      <w:szCs w:val="21"/>
                      <w:vertAlign w:val="superscript"/>
                    </w:rPr>
                    <w:t>2</w:t>
                  </w:r>
                </w:p>
              </w:tc>
              <w:tc>
                <w:tcPr>
                  <w:tcW w:w="855" w:type="dxa"/>
                  <w:tcBorders>
                    <w:left w:val="nil"/>
                    <w:bottom w:val="single" w:color="auto" w:sz="8" w:space="0"/>
                    <w:right w:val="single" w:color="auto" w:sz="8" w:space="0"/>
                  </w:tcBorders>
                  <w:shd w:val="clear" w:color="auto" w:fill="auto"/>
                  <w:vAlign w:val="center"/>
                </w:tcPr>
                <w:p>
                  <w:pPr>
                    <w:pStyle w:val="146"/>
                    <w:rPr>
                      <w:szCs w:val="21"/>
                    </w:rPr>
                  </w:pPr>
                  <w:r>
                    <w:rPr>
                      <w:rFonts w:hint="eastAsia"/>
                      <w:szCs w:val="21"/>
                    </w:rPr>
                    <w:t>0.066</w:t>
                  </w:r>
                </w:p>
              </w:tc>
              <w:tc>
                <w:tcPr>
                  <w:tcW w:w="855" w:type="dxa"/>
                  <w:tcBorders>
                    <w:left w:val="nil"/>
                    <w:bottom w:val="single" w:color="auto" w:sz="8" w:space="0"/>
                    <w:right w:val="single" w:color="auto" w:sz="8" w:space="0"/>
                  </w:tcBorders>
                  <w:shd w:val="clear" w:color="auto" w:fill="auto"/>
                  <w:vAlign w:val="center"/>
                </w:tcPr>
                <w:p>
                  <w:pPr>
                    <w:pStyle w:val="146"/>
                    <w:rPr>
                      <w:szCs w:val="21"/>
                    </w:rPr>
                  </w:pPr>
                  <w:r>
                    <w:rPr>
                      <w:rFonts w:hint="eastAsia"/>
                      <w:szCs w:val="21"/>
                    </w:rPr>
                    <w:t>13.2</w:t>
                  </w:r>
                </w:p>
              </w:tc>
              <w:tc>
                <w:tcPr>
                  <w:tcW w:w="1560" w:type="dxa"/>
                  <w:tcBorders>
                    <w:top w:val="single" w:color="auto" w:sz="8" w:space="0"/>
                    <w:left w:val="nil"/>
                    <w:bottom w:val="single" w:color="auto" w:sz="8" w:space="0"/>
                    <w:right w:val="single" w:color="auto" w:sz="8" w:space="0"/>
                  </w:tcBorders>
                  <w:shd w:val="clear" w:color="auto" w:fill="auto"/>
                  <w:vAlign w:val="center"/>
                </w:tcPr>
                <w:p>
                  <w:pPr>
                    <w:pStyle w:val="146"/>
                    <w:rPr>
                      <w:szCs w:val="21"/>
                    </w:rPr>
                  </w:pPr>
                  <w:r>
                    <w:rPr>
                      <w:rFonts w:hint="eastAsia"/>
                      <w:szCs w:val="21"/>
                    </w:rPr>
                    <w:t>/</w:t>
                  </w:r>
                </w:p>
              </w:tc>
              <w:tc>
                <w:tcPr>
                  <w:tcW w:w="1621" w:type="dxa"/>
                  <w:tcBorders>
                    <w:top w:val="nil"/>
                    <w:left w:val="nil"/>
                    <w:bottom w:val="single" w:color="auto" w:sz="8" w:space="0"/>
                    <w:right w:val="single" w:color="auto" w:sz="8" w:space="0"/>
                  </w:tcBorders>
                  <w:shd w:val="clear" w:color="auto" w:fill="auto"/>
                  <w:vAlign w:val="center"/>
                </w:tcPr>
                <w:p>
                  <w:pPr>
                    <w:pStyle w:val="146"/>
                    <w:rPr>
                      <w:szCs w:val="21"/>
                    </w:rPr>
                  </w:pPr>
                  <w:r>
                    <w:rPr>
                      <w:rFonts w:hint="eastAsia"/>
                      <w:szCs w:val="21"/>
                    </w:rPr>
                    <w:t>/</w:t>
                  </w:r>
                </w:p>
              </w:tc>
            </w:tr>
            <w:tr>
              <w:tblPrEx>
                <w:tblCellMar>
                  <w:top w:w="0" w:type="dxa"/>
                  <w:left w:w="0" w:type="dxa"/>
                  <w:bottom w:w="0" w:type="dxa"/>
                  <w:right w:w="0" w:type="dxa"/>
                </w:tblCellMar>
              </w:tblPrEx>
              <w:trPr>
                <w:trHeight w:val="285" w:hRule="atLeast"/>
                <w:jc w:val="center"/>
              </w:trPr>
              <w:tc>
                <w:tcPr>
                  <w:tcW w:w="542" w:type="dxa"/>
                  <w:tcBorders>
                    <w:top w:val="nil"/>
                    <w:left w:val="single" w:color="auto" w:sz="8" w:space="0"/>
                    <w:bottom w:val="single" w:color="auto" w:sz="8" w:space="0"/>
                    <w:right w:val="single" w:color="auto" w:sz="8" w:space="0"/>
                  </w:tcBorders>
                  <w:shd w:val="clear" w:color="auto" w:fill="auto"/>
                  <w:vAlign w:val="center"/>
                </w:tcPr>
                <w:p>
                  <w:pPr>
                    <w:pStyle w:val="146"/>
                    <w:rPr>
                      <w:szCs w:val="21"/>
                    </w:rPr>
                  </w:pPr>
                  <w:r>
                    <w:rPr>
                      <w:rFonts w:hint="eastAsia"/>
                      <w:szCs w:val="21"/>
                    </w:rPr>
                    <w:t>合计</w:t>
                  </w:r>
                </w:p>
              </w:tc>
              <w:tc>
                <w:tcPr>
                  <w:tcW w:w="1065" w:type="dxa"/>
                  <w:tcBorders>
                    <w:top w:val="nil"/>
                    <w:left w:val="nil"/>
                    <w:bottom w:val="single" w:color="auto" w:sz="8" w:space="0"/>
                    <w:right w:val="single" w:color="auto" w:sz="8" w:space="0"/>
                  </w:tcBorders>
                  <w:shd w:val="clear" w:color="auto" w:fill="auto"/>
                  <w:vAlign w:val="center"/>
                </w:tcPr>
                <w:p>
                  <w:pPr>
                    <w:pStyle w:val="146"/>
                    <w:rPr>
                      <w:szCs w:val="21"/>
                    </w:rPr>
                  </w:pPr>
                  <w:r>
                    <w:rPr>
                      <w:szCs w:val="21"/>
                    </w:rPr>
                    <w:t>/</w:t>
                  </w:r>
                </w:p>
              </w:tc>
              <w:tc>
                <w:tcPr>
                  <w:tcW w:w="1245" w:type="dxa"/>
                  <w:tcBorders>
                    <w:top w:val="nil"/>
                    <w:left w:val="nil"/>
                    <w:bottom w:val="single" w:color="auto" w:sz="8" w:space="0"/>
                    <w:right w:val="single" w:color="auto" w:sz="8" w:space="0"/>
                  </w:tcBorders>
                  <w:shd w:val="clear" w:color="auto" w:fill="auto"/>
                  <w:vAlign w:val="center"/>
                </w:tcPr>
                <w:p>
                  <w:pPr>
                    <w:pStyle w:val="146"/>
                    <w:rPr>
                      <w:szCs w:val="21"/>
                    </w:rPr>
                  </w:pPr>
                  <w:r>
                    <w:rPr>
                      <w:szCs w:val="21"/>
                    </w:rPr>
                    <w:t>/</w:t>
                  </w:r>
                </w:p>
              </w:tc>
              <w:tc>
                <w:tcPr>
                  <w:tcW w:w="690" w:type="dxa"/>
                  <w:tcBorders>
                    <w:top w:val="nil"/>
                    <w:left w:val="nil"/>
                    <w:bottom w:val="single" w:color="auto" w:sz="8" w:space="0"/>
                    <w:right w:val="single" w:color="auto" w:sz="8" w:space="0"/>
                  </w:tcBorders>
                  <w:shd w:val="clear" w:color="auto" w:fill="auto"/>
                  <w:vAlign w:val="center"/>
                </w:tcPr>
                <w:p>
                  <w:pPr>
                    <w:pStyle w:val="146"/>
                    <w:rPr>
                      <w:szCs w:val="21"/>
                    </w:rPr>
                  </w:pPr>
                  <w:r>
                    <w:rPr>
                      <w:szCs w:val="21"/>
                    </w:rPr>
                    <w:t>/</w:t>
                  </w:r>
                </w:p>
              </w:tc>
              <w:tc>
                <w:tcPr>
                  <w:tcW w:w="855" w:type="dxa"/>
                  <w:tcBorders>
                    <w:top w:val="nil"/>
                    <w:left w:val="nil"/>
                    <w:bottom w:val="single" w:color="auto" w:sz="8" w:space="0"/>
                    <w:right w:val="single" w:color="auto" w:sz="8" w:space="0"/>
                  </w:tcBorders>
                  <w:shd w:val="clear" w:color="auto" w:fill="auto"/>
                  <w:vAlign w:val="center"/>
                </w:tcPr>
                <w:p>
                  <w:pPr>
                    <w:pStyle w:val="146"/>
                    <w:rPr>
                      <w:szCs w:val="21"/>
                    </w:rPr>
                  </w:pPr>
                  <w:r>
                    <w:rPr>
                      <w:rFonts w:hint="eastAsia"/>
                      <w:szCs w:val="21"/>
                    </w:rPr>
                    <w:t>15.026</w:t>
                  </w:r>
                </w:p>
              </w:tc>
              <w:tc>
                <w:tcPr>
                  <w:tcW w:w="855" w:type="dxa"/>
                  <w:tcBorders>
                    <w:top w:val="nil"/>
                    <w:left w:val="nil"/>
                    <w:bottom w:val="single" w:color="auto" w:sz="8" w:space="0"/>
                    <w:right w:val="single" w:color="auto" w:sz="8" w:space="0"/>
                  </w:tcBorders>
                  <w:shd w:val="clear" w:color="auto" w:fill="auto"/>
                  <w:vAlign w:val="center"/>
                </w:tcPr>
                <w:p>
                  <w:pPr>
                    <w:pStyle w:val="146"/>
                    <w:rPr>
                      <w:szCs w:val="21"/>
                    </w:rPr>
                  </w:pPr>
                  <w:r>
                    <w:rPr>
                      <w:rFonts w:hint="eastAsia"/>
                      <w:szCs w:val="21"/>
                    </w:rPr>
                    <w:t>5473.6</w:t>
                  </w:r>
                </w:p>
              </w:tc>
              <w:tc>
                <w:tcPr>
                  <w:tcW w:w="1560" w:type="dxa"/>
                  <w:tcBorders>
                    <w:top w:val="nil"/>
                    <w:left w:val="nil"/>
                    <w:bottom w:val="single" w:color="auto" w:sz="8" w:space="0"/>
                    <w:right w:val="single" w:color="auto" w:sz="8" w:space="0"/>
                  </w:tcBorders>
                  <w:shd w:val="clear" w:color="auto" w:fill="auto"/>
                  <w:vAlign w:val="center"/>
                </w:tcPr>
                <w:p>
                  <w:pPr>
                    <w:pStyle w:val="146"/>
                    <w:rPr>
                      <w:color w:val="4F81BD" w:themeColor="accent1"/>
                      <w:szCs w:val="21"/>
                    </w:rPr>
                  </w:pPr>
                  <w:r>
                    <w:rPr>
                      <w:rFonts w:hint="eastAsia"/>
                      <w:color w:val="4F81BD" w:themeColor="accent1"/>
                      <w:szCs w:val="21"/>
                    </w:rPr>
                    <w:t>11.62（检验废水属医废，委托有资质单位处置，不计入废水排放总量）</w:t>
                  </w:r>
                </w:p>
              </w:tc>
              <w:tc>
                <w:tcPr>
                  <w:tcW w:w="1621" w:type="dxa"/>
                  <w:tcBorders>
                    <w:top w:val="nil"/>
                    <w:left w:val="nil"/>
                    <w:bottom w:val="single" w:color="auto" w:sz="8" w:space="0"/>
                    <w:right w:val="single" w:color="auto" w:sz="8" w:space="0"/>
                  </w:tcBorders>
                  <w:shd w:val="clear" w:color="auto" w:fill="auto"/>
                  <w:vAlign w:val="center"/>
                </w:tcPr>
                <w:p>
                  <w:pPr>
                    <w:pStyle w:val="146"/>
                    <w:rPr>
                      <w:color w:val="4F81BD" w:themeColor="accent1"/>
                      <w:szCs w:val="21"/>
                    </w:rPr>
                  </w:pPr>
                  <w:r>
                    <w:rPr>
                      <w:rFonts w:hint="eastAsia"/>
                      <w:color w:val="4F81BD" w:themeColor="accent1"/>
                      <w:szCs w:val="21"/>
                    </w:rPr>
                    <w:t>4241.3（检验废水属医废，委托有资质单位处置，不计入废水排放总量）</w:t>
                  </w:r>
                </w:p>
              </w:tc>
            </w:tr>
            <w:tr>
              <w:tblPrEx>
                <w:tblCellMar>
                  <w:top w:w="0" w:type="dxa"/>
                  <w:left w:w="0" w:type="dxa"/>
                  <w:bottom w:w="0" w:type="dxa"/>
                  <w:right w:w="0" w:type="dxa"/>
                </w:tblCellMar>
              </w:tblPrEx>
              <w:trPr>
                <w:trHeight w:val="285" w:hRule="atLeast"/>
                <w:jc w:val="center"/>
              </w:trPr>
              <w:tc>
                <w:tcPr>
                  <w:tcW w:w="8433"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pStyle w:val="146"/>
                    <w:spacing w:line="240" w:lineRule="auto"/>
                    <w:jc w:val="both"/>
                  </w:pPr>
                  <w:r>
                    <w:rPr>
                      <w:rFonts w:hint="eastAsia"/>
                    </w:rPr>
                    <w:t>备注：1、根据《国家危险废物名录（2021年版）》，检验废液属于医废，环评要求建设单位对检验废液采用单独容器收集后暂存于医疗废物暂存间，委托有资质的单位定期清运处置。检验室废液产生量0.08</w:t>
                  </w:r>
                  <w:r>
                    <w:t>m3/</w:t>
                  </w:r>
                  <w:r>
                    <w:rPr>
                      <w:rFonts w:hint="eastAsia"/>
                    </w:rPr>
                    <w:t>d，28.2</w:t>
                  </w:r>
                  <w:r>
                    <w:t>m3/a</w:t>
                  </w:r>
                  <w:r>
                    <w:rPr>
                      <w:rFonts w:hint="eastAsia"/>
                    </w:rPr>
                    <w:t>不计入废水排放量；</w:t>
                  </w:r>
                </w:p>
                <w:p>
                  <w:pPr>
                    <w:spacing w:line="240" w:lineRule="auto"/>
                    <w:ind w:firstLine="0" w:firstLineChars="0"/>
                  </w:pPr>
                  <w:r>
                    <w:rPr>
                      <w:rFonts w:hint="eastAsia"/>
                      <w:sz w:val="21"/>
                      <w:szCs w:val="21"/>
                    </w:rPr>
                    <w:t>2、生活废水中含油废水0.268</w:t>
                  </w:r>
                  <w:r>
                    <w:rPr>
                      <w:sz w:val="21"/>
                      <w:szCs w:val="21"/>
                    </w:rPr>
                    <w:t>m</w:t>
                  </w:r>
                  <w:r>
                    <w:rPr>
                      <w:sz w:val="21"/>
                      <w:szCs w:val="21"/>
                      <w:vertAlign w:val="superscript"/>
                    </w:rPr>
                    <w:t>3</w:t>
                  </w:r>
                  <w:r>
                    <w:rPr>
                      <w:sz w:val="21"/>
                      <w:szCs w:val="21"/>
                    </w:rPr>
                    <w:t>/</w:t>
                  </w:r>
                  <w:r>
                    <w:rPr>
                      <w:rFonts w:hint="eastAsia"/>
                      <w:sz w:val="21"/>
                      <w:szCs w:val="21"/>
                    </w:rPr>
                    <w:t>d，97.82</w:t>
                  </w:r>
                  <w:r>
                    <w:rPr>
                      <w:sz w:val="21"/>
                      <w:szCs w:val="21"/>
                    </w:rPr>
                    <w:t>m</w:t>
                  </w:r>
                  <w:r>
                    <w:rPr>
                      <w:sz w:val="21"/>
                      <w:szCs w:val="21"/>
                      <w:vertAlign w:val="superscript"/>
                    </w:rPr>
                    <w:t>3</w:t>
                  </w:r>
                  <w:r>
                    <w:rPr>
                      <w:sz w:val="21"/>
                      <w:szCs w:val="21"/>
                    </w:rPr>
                    <w:t>/a</w:t>
                  </w:r>
                  <w:r>
                    <w:rPr>
                      <w:rFonts w:hint="eastAsia"/>
                      <w:sz w:val="21"/>
                      <w:szCs w:val="21"/>
                    </w:rPr>
                    <w:t>委托环卫部门清运处置，不计入废水排放量。</w:t>
                  </w:r>
                </w:p>
              </w:tc>
            </w:tr>
          </w:tbl>
          <w:p>
            <w:pPr>
              <w:ind w:firstLine="482"/>
              <w:rPr>
                <w:b/>
              </w:rPr>
            </w:pPr>
          </w:p>
          <w:p>
            <w:pPr>
              <w:ind w:firstLine="482"/>
              <w:rPr>
                <w:b/>
              </w:rPr>
            </w:pPr>
            <w:r>
              <w:rPr>
                <w:rFonts w:hint="eastAsia"/>
                <w:b/>
              </w:rPr>
              <w:t>（2）废水处理方案及排放方式</w:t>
            </w:r>
          </w:p>
          <w:p>
            <w:pPr>
              <w:ind w:firstLine="480"/>
              <w:rPr>
                <w:kern w:val="0"/>
              </w:rPr>
            </w:pPr>
            <w:r>
              <w:rPr>
                <w:rFonts w:hint="eastAsia"/>
              </w:rPr>
              <w:t>项目实行雨污分流，雨水通过院内雨水沟排入院外道路雨水沟。检验废水用独立容器收集后委托有资质的单位定期清运处置。一般医疗废水和生活废水经过化粪池处理后，进入医院自建的污水处理站，采用《医院污水处理工程技术规范》（HJ2029-2013）</w:t>
            </w:r>
            <w:r>
              <w:rPr>
                <w:rFonts w:hint="eastAsia" w:eastAsia="宋体" w:cs="Times New Roman"/>
                <w:bCs/>
                <w:szCs w:val="24"/>
              </w:rPr>
              <w:t>推荐的</w:t>
            </w:r>
            <w:r>
              <w:rPr>
                <w:rFonts w:hint="eastAsia"/>
              </w:rPr>
              <w:t>“二级处理工艺”（调节池→生物氧化→接触消毒），</w:t>
            </w:r>
            <w:r>
              <w:rPr>
                <w:rFonts w:hint="eastAsia"/>
                <w:b/>
                <w:bCs/>
              </w:rPr>
              <w:t>姚安县城镇污水管网建到下新屯村委会前</w:t>
            </w:r>
            <w:r>
              <w:rPr>
                <w:rFonts w:hint="eastAsia"/>
              </w:rPr>
              <w:t>，项目食堂产生含油废水经隔油池隔油处理后汇入下水道并拢其他生活废水，与医疗废水一并</w:t>
            </w:r>
            <w:r>
              <w:t>排入</w:t>
            </w:r>
            <w:r>
              <w:rPr>
                <w:rFonts w:hint="eastAsia"/>
              </w:rPr>
              <w:t>化粪池进行预处理</w:t>
            </w:r>
            <w:r>
              <w:t>，</w:t>
            </w:r>
            <w:r>
              <w:rPr>
                <w:rFonts w:hint="eastAsia"/>
              </w:rPr>
              <w:t>再</w:t>
            </w:r>
            <w:r>
              <w:t>排入</w:t>
            </w:r>
            <w:r>
              <w:rPr>
                <w:rFonts w:hint="eastAsia"/>
              </w:rPr>
              <w:t>项目自建的一体化污水处理站处理达《医疗机构水污染物排放标准》GB18466-2005表2中排放标准后，排入蜻蛉河；</w:t>
            </w:r>
            <w:r>
              <w:rPr>
                <w:rFonts w:hint="eastAsia"/>
                <w:b/>
                <w:bCs/>
              </w:rPr>
              <w:t>姚安县城镇污水管网建到下新屯村委会后</w:t>
            </w:r>
            <w:r>
              <w:rPr>
                <w:rFonts w:hint="eastAsia"/>
              </w:rPr>
              <w:t>，项目食堂产生含油废水经隔油池隔油处理后汇入下水道并拢其他生活废水，与医疗废水一并</w:t>
            </w:r>
            <w:r>
              <w:t>排入</w:t>
            </w:r>
            <w:r>
              <w:rPr>
                <w:rFonts w:hint="eastAsia"/>
              </w:rPr>
              <w:t>化粪池进行预处理</w:t>
            </w:r>
            <w:r>
              <w:t>，</w:t>
            </w:r>
            <w:r>
              <w:rPr>
                <w:rFonts w:hint="eastAsia"/>
              </w:rPr>
              <w:t>再</w:t>
            </w:r>
            <w:r>
              <w:t>排入</w:t>
            </w:r>
            <w:r>
              <w:rPr>
                <w:rFonts w:hint="eastAsia"/>
              </w:rPr>
              <w:t>项目自建的一体化污水处理站处理达</w:t>
            </w:r>
            <w:r>
              <w:rPr>
                <w:rFonts w:hint="eastAsia" w:cs="Times New Roman"/>
              </w:rPr>
              <w:t>《医疗机构水污染物排放标准》GB18466-2005表2中预处理标准和《污水排入城镇下水道水质标准》（</w:t>
            </w:r>
            <w:r>
              <w:rPr>
                <w:rFonts w:cs="Times New Roman"/>
              </w:rPr>
              <w:t>GB/T31962-2015</w:t>
            </w:r>
            <w:r>
              <w:rPr>
                <w:rFonts w:hint="eastAsia" w:cs="Times New Roman"/>
              </w:rPr>
              <w:t>）表</w:t>
            </w:r>
            <w:r>
              <w:rPr>
                <w:rFonts w:cs="Times New Roman"/>
              </w:rPr>
              <w:t>1</w:t>
            </w:r>
            <w:r>
              <w:rPr>
                <w:rFonts w:hint="eastAsia" w:cs="Times New Roman"/>
              </w:rPr>
              <w:t>（</w:t>
            </w:r>
            <w:r>
              <w:rPr>
                <w:rFonts w:cs="Times New Roman"/>
              </w:rPr>
              <w:t xml:space="preserve">A </w:t>
            </w:r>
            <w:r>
              <w:rPr>
                <w:rFonts w:hint="eastAsia" w:cs="Times New Roman"/>
              </w:rPr>
              <w:t>等级）标准后，排入姚安县污水管网，最终进入姚安县污水处理厂统一处理</w:t>
            </w:r>
            <w:r>
              <w:rPr>
                <w:rFonts w:hint="eastAsia"/>
                <w:kern w:val="0"/>
              </w:rPr>
              <w:t>。</w:t>
            </w:r>
          </w:p>
          <w:p>
            <w:pPr>
              <w:ind w:firstLine="480"/>
              <w:rPr>
                <w:kern w:val="0"/>
              </w:rPr>
            </w:pPr>
          </w:p>
          <w:p>
            <w:pPr>
              <w:ind w:firstLine="0" w:firstLineChars="0"/>
            </w:pPr>
            <w:r>
              <w:drawing>
                <wp:inline distT="0" distB="0" distL="0" distR="0">
                  <wp:extent cx="5206365" cy="30168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5206621" cy="3017309"/>
                          </a:xfrm>
                          <a:prstGeom prst="rect">
                            <a:avLst/>
                          </a:prstGeom>
                        </pic:spPr>
                      </pic:pic>
                    </a:graphicData>
                  </a:graphic>
                </wp:inline>
              </w:drawing>
            </w:r>
          </w:p>
          <w:p>
            <w:pPr>
              <w:ind w:firstLine="0" w:firstLineChars="0"/>
              <w:jc w:val="left"/>
              <w:rPr>
                <w:rFonts w:eastAsia="宋体" w:cs="Times New Roman"/>
                <w:bCs/>
                <w:szCs w:val="24"/>
              </w:rPr>
            </w:pPr>
          </w:p>
          <w:p>
            <w:pPr>
              <w:ind w:firstLine="0" w:firstLineChars="0"/>
              <w:jc w:val="left"/>
              <w:rPr>
                <w:rFonts w:eastAsia="宋体" w:cs="Times New Roman"/>
                <w:bCs/>
                <w:szCs w:val="24"/>
              </w:rPr>
            </w:pPr>
            <w:r>
              <w:pict>
                <v:line id="_x0000_s2213" o:spid="_x0000_s2213" o:spt="20" style="position:absolute;left:0pt;margin-left:113.75pt;margin-top:291pt;height:27.95pt;width:0.05pt;z-index:251666432;mso-width-relative:page;mso-height-relative:page;" coordsize="21600,21600">
                  <v:path arrowok="t"/>
                  <v:fill focussize="0,0"/>
                  <v:stroke startarrow="block"/>
                  <v:imagedata o:title=""/>
                  <o:lock v:ext="edit"/>
                </v:line>
              </w:pict>
            </w:r>
            <w:r>
              <w:pict>
                <v:line id="_x0000_s2212" o:spid="_x0000_s2212" o:spt="20" style="position:absolute;left:0pt;margin-left:109.65pt;margin-top:244.95pt;height:27.95pt;width:0.05pt;z-index:251665408;mso-width-relative:page;mso-height-relative:page;" filled="t" coordsize="21600,21600">
                  <v:path arrowok="t"/>
                  <v:fill on="t" focussize="0,0"/>
                  <v:stroke endarrow="block"/>
                  <v:imagedata o:title=""/>
                  <o:lock v:ext="edit"/>
                </v:line>
              </w:pict>
            </w:r>
            <w:r>
              <w:pict>
                <v:line id="_x0000_s2203" o:spid="_x0000_s2203" o:spt="20" style="position:absolute;left:0pt;flip:x;margin-left:394.75pt;margin-top:253.6pt;height:29.25pt;width:0.75pt;z-index:251664384;mso-width-relative:page;mso-height-relative:page;" filled="t" coordsize="21600,21600">
                  <v:path arrowok="t"/>
                  <v:fill on="t" focussize="0,0"/>
                  <v:stroke endarrow="block"/>
                  <v:imagedata o:title=""/>
                  <o:lock v:ext="edit"/>
                </v:line>
              </w:pict>
            </w:r>
            <w:r>
              <w:pict>
                <v:line id="_x0000_s2202" o:spid="_x0000_s2202" o:spt="20" style="position:absolute;left:0pt;flip:x;margin-left:286pt;margin-top:253.6pt;height:29.25pt;width:0.75pt;z-index:251663360;mso-width-relative:page;mso-height-relative:page;" filled="t" coordsize="21600,21600">
                  <v:path arrowok="t"/>
                  <v:fill on="t" focussize="0,0"/>
                  <v:stroke endarrow="block"/>
                  <v:imagedata o:title=""/>
                  <o:lock v:ext="edit"/>
                </v:line>
              </w:pict>
            </w:r>
            <w:r>
              <w:pict>
                <v:line id="_x0000_s2201" o:spid="_x0000_s2201" o:spt="20" style="position:absolute;left:0pt;flip:y;margin-left:285.25pt;margin-top:253.6pt;height:0.75pt;width:111pt;z-index:251662336;mso-width-relative:page;mso-height-relative:page;" filled="t" coordsize="21600,21600">
                  <v:path arrowok="t"/>
                  <v:fill on="t" focussize="0,0"/>
                  <v:stroke/>
                  <v:imagedata o:title=""/>
                  <o:lock v:ext="edit"/>
                </v:line>
              </w:pict>
            </w:r>
            <w:r>
              <w:rPr>
                <w:rFonts w:eastAsia="宋体" w:cs="Times New Roman"/>
                <w:bCs/>
                <w:szCs w:val="24"/>
              </w:rPr>
              <w:pict>
                <v:group id="_x0000_s2124" o:spid="_x0000_s2124" o:spt="203" style="height:510.05pt;width:419.9pt;" coordorigin="1312,7922" coordsize="6666,8098" editas="canvas">
                  <o:lock v:ext="edit"/>
                  <v:shape id="_x0000_s2125" o:spid="_x0000_s2125" o:spt="75" type="#_x0000_t75" style="position:absolute;left:1312;top:7922;height:8098;width:6666;" filled="f" o:preferrelative="t" stroked="f" coordsize="21600,21600">
                    <v:path/>
                    <v:fill on="f" focussize="0,0"/>
                    <v:stroke on="f" joinstyle="miter"/>
                    <v:imagedata o:title=""/>
                    <o:lock v:ext="edit" text="t" aspectratio="t"/>
                  </v:shape>
                  <v:shape id="_x0000_s2222" o:spid="_x0000_s2222" o:spt="202" type="#_x0000_t202" style="position:absolute;left:3519;top:12066;height:302;width:583;" stroked="f" coordsize="21600,21600">
                    <v:path/>
                    <v:fill focussize="0,0"/>
                    <v:stroke on="f" joinstyle="miter"/>
                    <v:imagedata o:title=""/>
                    <o:lock v:ext="edit"/>
                    <v:textbox>
                      <w:txbxContent>
                        <w:p>
                          <w:pPr>
                            <w:snapToGrid w:val="0"/>
                            <w:spacing w:line="240" w:lineRule="atLeast"/>
                            <w:ind w:firstLine="0" w:firstLineChars="0"/>
                            <w:jc w:val="center"/>
                            <w:rPr>
                              <w:rFonts w:cs="Times New Roman"/>
                              <w:sz w:val="18"/>
                              <w:szCs w:val="18"/>
                            </w:rPr>
                          </w:pPr>
                          <w:r>
                            <w:rPr>
                              <w:rFonts w:cs="Times New Roman"/>
                              <w:sz w:val="18"/>
                              <w:szCs w:val="18"/>
                            </w:rPr>
                            <w:t>0.</w:t>
                          </w:r>
                          <w:r>
                            <w:rPr>
                              <w:rFonts w:hint="eastAsia" w:cs="Times New Roman"/>
                              <w:sz w:val="18"/>
                              <w:szCs w:val="18"/>
                            </w:rPr>
                            <w:t>268</w:t>
                          </w:r>
                        </w:p>
                      </w:txbxContent>
                    </v:textbox>
                  </v:shape>
                  <v:shape id="_x0000_s2219" o:spid="_x0000_s2219" o:spt="202" type="#_x0000_t202" style="position:absolute;left:4234;top:12796;height:301;width:636;" stroked="f" coordsize="21600,21600">
                    <v:path/>
                    <v:fill focussize="0,0"/>
                    <v:stroke on="f" joinstyle="miter"/>
                    <v:imagedata o:title=""/>
                    <o:lock v:ext="edit"/>
                    <v:textbox>
                      <w:txbxContent>
                        <w:p>
                          <w:pPr>
                            <w:snapToGrid w:val="0"/>
                            <w:spacing w:line="240" w:lineRule="atLeast"/>
                            <w:ind w:firstLine="0" w:firstLineChars="0"/>
                            <w:rPr>
                              <w:rFonts w:cs="Times New Roman"/>
                              <w:sz w:val="18"/>
                              <w:szCs w:val="18"/>
                            </w:rPr>
                          </w:pPr>
                          <w:r>
                            <w:rPr>
                              <w:rFonts w:hint="eastAsia" w:cs="Times New Roman"/>
                              <w:sz w:val="18"/>
                              <w:szCs w:val="18"/>
                            </w:rPr>
                            <w:t>2.074</w:t>
                          </w:r>
                        </w:p>
                      </w:txbxContent>
                    </v:textbox>
                  </v:shape>
                  <v:shape id="_x0000_s2218" o:spid="_x0000_s2218" o:spt="202" type="#_x0000_t202" style="position:absolute;left:2438;top:12812;height:302;width:539;" stroked="f" coordsize="21600,21600">
                    <v:path/>
                    <v:fill focussize="0,0"/>
                    <v:stroke on="f" joinstyle="miter"/>
                    <v:imagedata o:title=""/>
                    <o:lock v:ext="edit"/>
                    <v:textbox>
                      <w:txbxContent>
                        <w:p>
                          <w:pPr>
                            <w:snapToGrid w:val="0"/>
                            <w:spacing w:line="240" w:lineRule="atLeast"/>
                            <w:ind w:firstLine="0" w:firstLineChars="0"/>
                            <w:jc w:val="center"/>
                            <w:rPr>
                              <w:rFonts w:cs="Times New Roman"/>
                              <w:sz w:val="18"/>
                              <w:szCs w:val="18"/>
                            </w:rPr>
                          </w:pPr>
                          <w:r>
                            <w:rPr>
                              <w:rFonts w:hint="eastAsia" w:cs="Times New Roman"/>
                              <w:sz w:val="18"/>
                              <w:szCs w:val="18"/>
                            </w:rPr>
                            <w:t>2.88</w:t>
                          </w:r>
                        </w:p>
                      </w:txbxContent>
                    </v:textbox>
                  </v:shape>
                  <v:shape id="_x0000_s2217" o:spid="_x0000_s2217" o:spt="202" type="#_x0000_t202" style="position:absolute;left:3682;top:12575;height:302;width:647;" stroked="f" coordsize="21600,21600">
                    <v:path/>
                    <v:fill focussize="0,0"/>
                    <v:stroke on="f" joinstyle="miter"/>
                    <v:imagedata o:title=""/>
                    <o:lock v:ext="edit"/>
                    <v:textbox>
                      <w:txbxContent>
                        <w:p>
                          <w:pPr>
                            <w:snapToGrid w:val="0"/>
                            <w:spacing w:line="240" w:lineRule="atLeast"/>
                            <w:ind w:firstLine="0" w:firstLineChars="0"/>
                            <w:jc w:val="center"/>
                            <w:rPr>
                              <w:rFonts w:cs="Times New Roman"/>
                              <w:sz w:val="18"/>
                              <w:szCs w:val="18"/>
                            </w:rPr>
                          </w:pPr>
                          <w:r>
                            <w:rPr>
                              <w:rFonts w:cs="Times New Roman"/>
                              <w:sz w:val="18"/>
                              <w:szCs w:val="18"/>
                            </w:rPr>
                            <w:t>0.</w:t>
                          </w:r>
                          <w:r>
                            <w:rPr>
                              <w:rFonts w:hint="eastAsia" w:cs="Times New Roman"/>
                              <w:sz w:val="18"/>
                              <w:szCs w:val="18"/>
                            </w:rPr>
                            <w:t>576</w:t>
                          </w:r>
                        </w:p>
                      </w:txbxContent>
                    </v:textbox>
                  </v:shape>
                  <v:shape id="_x0000_s2215" o:spid="_x0000_s2215" o:spt="202" type="#_x0000_t202" style="position:absolute;left:2616;top:11761;height:302;width:1321;" stroked="f" coordsize="21600,21600">
                    <v:path/>
                    <v:fill focussize="0,0"/>
                    <v:stroke on="f" joinstyle="miter"/>
                    <v:imagedata o:title=""/>
                    <o:lock v:ext="edit"/>
                    <v:textbox>
                      <w:txbxContent>
                        <w:p>
                          <w:pPr>
                            <w:snapToGrid w:val="0"/>
                            <w:spacing w:line="240" w:lineRule="atLeast"/>
                            <w:ind w:firstLine="0" w:firstLineChars="0"/>
                            <w:rPr>
                              <w:sz w:val="21"/>
                              <w:szCs w:val="21"/>
                            </w:rPr>
                          </w:pPr>
                          <w:r>
                            <w:rPr>
                              <w:rFonts w:hint="eastAsia"/>
                              <w:sz w:val="21"/>
                              <w:szCs w:val="21"/>
                            </w:rPr>
                            <w:t>含油废水0.038</w:t>
                          </w:r>
                        </w:p>
                      </w:txbxContent>
                    </v:textbox>
                  </v:shape>
                  <v:shape id="_x0000_s2207" o:spid="_x0000_s2207" o:spt="202" type="#_x0000_t202" style="position:absolute;left:6129;top:8520;height:615;width:1027;" stroked="f" coordsize="21600,21600">
                    <v:path/>
                    <v:fill focussize="0,0"/>
                    <v:stroke on="f" joinstyle="miter"/>
                    <v:imagedata o:title=""/>
                    <o:lock v:ext="edit"/>
                    <v:textbox>
                      <w:txbxContent>
                        <w:p>
                          <w:pPr>
                            <w:snapToGrid w:val="0"/>
                            <w:spacing w:line="240" w:lineRule="atLeast"/>
                            <w:ind w:firstLine="0" w:firstLineChars="0"/>
                            <w:jc w:val="center"/>
                            <w:rPr>
                              <w:rFonts w:cs="Times New Roman"/>
                              <w:sz w:val="18"/>
                              <w:szCs w:val="18"/>
                            </w:rPr>
                          </w:pPr>
                          <w:r>
                            <w:rPr>
                              <w:rFonts w:hint="eastAsia" w:cs="Times New Roman"/>
                              <w:sz w:val="18"/>
                              <w:szCs w:val="18"/>
                            </w:rPr>
                            <w:t>委托有资质的单位处置</w:t>
                          </w:r>
                        </w:p>
                      </w:txbxContent>
                    </v:textbox>
                  </v:shape>
                  <v:shape id="_x0000_s2126" o:spid="_x0000_s2126" o:spt="202" type="#_x0000_t202" style="position:absolute;left:5358;top:9493;height:301;width:627;" stroked="f" coordsize="21600,21600">
                    <v:path/>
                    <v:fill focussize="0,0"/>
                    <v:stroke on="f" joinstyle="miter"/>
                    <v:imagedata o:title=""/>
                    <o:lock v:ext="edit"/>
                    <v:textbox>
                      <w:txbxContent>
                        <w:p>
                          <w:pPr>
                            <w:snapToGrid w:val="0"/>
                            <w:spacing w:line="240" w:lineRule="atLeast"/>
                            <w:ind w:firstLine="0" w:firstLineChars="0"/>
                            <w:jc w:val="center"/>
                            <w:rPr>
                              <w:rFonts w:cs="Times New Roman"/>
                              <w:sz w:val="18"/>
                              <w:szCs w:val="18"/>
                            </w:rPr>
                          </w:pPr>
                          <w:r>
                            <w:rPr>
                              <w:rFonts w:hint="eastAsia" w:cs="Times New Roman"/>
                              <w:sz w:val="18"/>
                              <w:szCs w:val="18"/>
                            </w:rPr>
                            <w:t>11.62</w:t>
                          </w:r>
                        </w:p>
                      </w:txbxContent>
                    </v:textbox>
                  </v:shape>
                  <v:shape id="_x0000_s2129" o:spid="_x0000_s2129" o:spt="202" type="#_x0000_t202" style="position:absolute;left:4424;top:10334;height:302;width:629;" stroked="f" coordsize="21600,21600">
                    <v:path/>
                    <v:fill focussize="0,0"/>
                    <v:stroke on="f" joinstyle="miter"/>
                    <v:imagedata o:title=""/>
                    <o:lock v:ext="edit"/>
                    <v:textbox>
                      <w:txbxContent>
                        <w:p>
                          <w:pPr>
                            <w:snapToGrid w:val="0"/>
                            <w:spacing w:line="240" w:lineRule="atLeast"/>
                            <w:ind w:firstLine="0" w:firstLineChars="0"/>
                            <w:rPr>
                              <w:sz w:val="21"/>
                              <w:szCs w:val="21"/>
                            </w:rPr>
                          </w:pPr>
                          <w:r>
                            <w:rPr>
                              <w:rFonts w:hint="eastAsia"/>
                              <w:sz w:val="21"/>
                              <w:szCs w:val="21"/>
                            </w:rPr>
                            <w:t>8.64</w:t>
                          </w:r>
                        </w:p>
                      </w:txbxContent>
                    </v:textbox>
                  </v:shape>
                  <v:shape id="_x0000_s2130" o:spid="_x0000_s2130" o:spt="202" type="#_x0000_t202" style="position:absolute;left:4198;top:11241;height:302;width:555;" stroked="f" coordsize="21600,21600">
                    <v:path/>
                    <v:fill focussize="0,0"/>
                    <v:stroke on="f" joinstyle="miter"/>
                    <v:imagedata o:title=""/>
                    <o:lock v:ext="edit"/>
                    <v:textbox>
                      <w:txbxContent>
                        <w:p>
                          <w:pPr>
                            <w:snapToGrid w:val="0"/>
                            <w:spacing w:line="240" w:lineRule="atLeast"/>
                            <w:ind w:firstLine="0" w:firstLineChars="0"/>
                            <w:jc w:val="center"/>
                            <w:rPr>
                              <w:rFonts w:cs="Times New Roman"/>
                              <w:sz w:val="18"/>
                              <w:szCs w:val="18"/>
                            </w:rPr>
                          </w:pPr>
                          <w:r>
                            <w:rPr>
                              <w:rFonts w:hint="eastAsia" w:cs="Times New Roman"/>
                              <w:sz w:val="18"/>
                              <w:szCs w:val="18"/>
                            </w:rPr>
                            <w:t>0.346</w:t>
                          </w:r>
                        </w:p>
                      </w:txbxContent>
                    </v:textbox>
                  </v:shape>
                  <v:shape id="_x0000_s2134" o:spid="_x0000_s2134" o:spt="202" type="#_x0000_t202" style="position:absolute;left:2441;top:11099;height:301;width:555;" stroked="f" coordsize="21600,21600">
                    <v:path/>
                    <v:fill focussize="0,0"/>
                    <v:stroke on="f" joinstyle="miter"/>
                    <v:imagedata o:title=""/>
                    <o:lock v:ext="edit"/>
                    <v:textbox>
                      <w:txbxContent>
                        <w:p>
                          <w:pPr>
                            <w:snapToGrid w:val="0"/>
                            <w:spacing w:line="240" w:lineRule="atLeast"/>
                            <w:ind w:firstLine="0" w:firstLineChars="0"/>
                            <w:jc w:val="center"/>
                            <w:rPr>
                              <w:rFonts w:cs="Times New Roman"/>
                              <w:sz w:val="18"/>
                              <w:szCs w:val="18"/>
                            </w:rPr>
                          </w:pPr>
                          <w:r>
                            <w:rPr>
                              <w:rFonts w:hint="eastAsia" w:cs="Times New Roman"/>
                              <w:sz w:val="18"/>
                              <w:szCs w:val="18"/>
                            </w:rPr>
                            <w:t>0.48</w:t>
                          </w:r>
                        </w:p>
                      </w:txbxContent>
                    </v:textbox>
                  </v:shape>
                  <v:shape id="_x0000_s2137" o:spid="_x0000_s2137" o:spt="202" type="#_x0000_t202" style="position:absolute;left:5420;top:12340;height:301;width:835;" stroked="f" coordsize="21600,21600">
                    <v:path/>
                    <v:fill focussize="0,0"/>
                    <v:stroke on="f" joinstyle="miter"/>
                    <v:imagedata o:title=""/>
                    <o:lock v:ext="edit"/>
                    <v:textbox>
                      <w:txbxContent>
                        <w:p>
                          <w:pPr>
                            <w:snapToGrid w:val="0"/>
                            <w:spacing w:line="240" w:lineRule="atLeast"/>
                            <w:ind w:firstLine="0" w:firstLineChars="0"/>
                            <w:jc w:val="center"/>
                            <w:rPr>
                              <w:rFonts w:cs="Times New Roman"/>
                              <w:sz w:val="18"/>
                              <w:szCs w:val="18"/>
                            </w:rPr>
                          </w:pPr>
                          <w:r>
                            <w:rPr>
                              <w:rFonts w:hint="eastAsia" w:cs="Times New Roman"/>
                              <w:sz w:val="18"/>
                              <w:szCs w:val="18"/>
                            </w:rPr>
                            <w:t>蜻岭河</w:t>
                          </w:r>
                        </w:p>
                      </w:txbxContent>
                    </v:textbox>
                  </v:shape>
                  <v:shape id="_x0000_s2139" o:spid="_x0000_s2139" o:spt="202" type="#_x0000_t202" style="position:absolute;left:3336;top:8996;height:307;width:557;" stroked="f" coordsize="21600,21600">
                    <v:path/>
                    <v:fill focussize="0,0"/>
                    <v:stroke on="f" joinstyle="miter"/>
                    <v:imagedata o:title=""/>
                    <o:lock v:ext="edit"/>
                    <v:textbox>
                      <w:txbxContent>
                        <w:p>
                          <w:pPr>
                            <w:snapToGrid w:val="0"/>
                            <w:spacing w:line="240" w:lineRule="atLeast"/>
                            <w:ind w:firstLine="0" w:firstLineChars="0"/>
                            <w:jc w:val="center"/>
                            <w:rPr>
                              <w:rFonts w:cs="Times New Roman"/>
                              <w:sz w:val="18"/>
                              <w:szCs w:val="18"/>
                            </w:rPr>
                          </w:pPr>
                          <w:r>
                            <w:rPr>
                              <w:rFonts w:cs="Times New Roman"/>
                              <w:sz w:val="18"/>
                              <w:szCs w:val="18"/>
                            </w:rPr>
                            <w:t>0.</w:t>
                          </w:r>
                          <w:r>
                            <w:rPr>
                              <w:rFonts w:hint="eastAsia" w:cs="Times New Roman"/>
                              <w:sz w:val="18"/>
                              <w:szCs w:val="18"/>
                            </w:rPr>
                            <w:t>14</w:t>
                          </w:r>
                        </w:p>
                      </w:txbxContent>
                    </v:textbox>
                  </v:shape>
                  <v:shape id="_x0000_s2140" o:spid="_x0000_s2140" o:spt="202" type="#_x0000_t202" style="position:absolute;left:3455;top:10939;height:301;width:556;" stroked="f" coordsize="21600,21600">
                    <v:path/>
                    <v:fill focussize="0,0"/>
                    <v:stroke on="f" joinstyle="miter"/>
                    <v:imagedata o:title=""/>
                    <o:lock v:ext="edit"/>
                    <v:textbox>
                      <w:txbxContent>
                        <w:p>
                          <w:pPr>
                            <w:snapToGrid w:val="0"/>
                            <w:spacing w:line="240" w:lineRule="atLeast"/>
                            <w:ind w:firstLine="0" w:firstLineChars="0"/>
                            <w:rPr>
                              <w:rFonts w:cs="Times New Roman"/>
                              <w:sz w:val="18"/>
                              <w:szCs w:val="18"/>
                            </w:rPr>
                          </w:pPr>
                          <w:r>
                            <w:rPr>
                              <w:rFonts w:hint="eastAsia" w:cs="Times New Roman"/>
                              <w:sz w:val="18"/>
                              <w:szCs w:val="18"/>
                            </w:rPr>
                            <w:t>0.096</w:t>
                          </w:r>
                        </w:p>
                      </w:txbxContent>
                    </v:textbox>
                  </v:shape>
                  <v:shape id="_x0000_s2141" o:spid="_x0000_s2141" o:spt="202" type="#_x0000_t202" style="position:absolute;left:2552;top:10336;height:301;width:556;" stroked="f" coordsize="21600,21600">
                    <v:path/>
                    <v:fill focussize="0,0"/>
                    <v:stroke on="f" joinstyle="miter"/>
                    <v:imagedata o:title=""/>
                    <o:lock v:ext="edit"/>
                    <v:textbox>
                      <w:txbxContent>
                        <w:p>
                          <w:pPr>
                            <w:snapToGrid w:val="0"/>
                            <w:spacing w:line="240" w:lineRule="atLeast"/>
                            <w:ind w:firstLine="0" w:firstLineChars="0"/>
                            <w:jc w:val="center"/>
                            <w:rPr>
                              <w:rFonts w:cs="Times New Roman"/>
                              <w:sz w:val="18"/>
                              <w:szCs w:val="18"/>
                            </w:rPr>
                          </w:pPr>
                          <w:r>
                            <w:rPr>
                              <w:rFonts w:hint="eastAsia" w:cs="Times New Roman"/>
                              <w:sz w:val="18"/>
                              <w:szCs w:val="18"/>
                            </w:rPr>
                            <w:t>10.8</w:t>
                          </w:r>
                        </w:p>
                      </w:txbxContent>
                    </v:textbox>
                  </v:shape>
                  <v:shape id="_x0000_s2142" o:spid="_x0000_s2142" o:spt="202" type="#_x0000_t202" style="position:absolute;left:4329;top:9303;height:301;width:553;" stroked="f" coordsize="21600,21600">
                    <v:path/>
                    <v:fill focussize="0,0"/>
                    <v:stroke on="f" joinstyle="miter"/>
                    <v:imagedata o:title=""/>
                    <o:lock v:ext="edit"/>
                    <v:textbox>
                      <w:txbxContent>
                        <w:p>
                          <w:pPr>
                            <w:snapToGrid w:val="0"/>
                            <w:spacing w:line="240" w:lineRule="atLeast"/>
                            <w:ind w:firstLine="0" w:firstLineChars="0"/>
                            <w:jc w:val="center"/>
                            <w:rPr>
                              <w:rFonts w:cs="Times New Roman"/>
                              <w:sz w:val="18"/>
                              <w:szCs w:val="18"/>
                            </w:rPr>
                          </w:pPr>
                          <w:r>
                            <w:rPr>
                              <w:rFonts w:cs="Times New Roman"/>
                              <w:sz w:val="18"/>
                              <w:szCs w:val="18"/>
                            </w:rPr>
                            <w:t>0.</w:t>
                          </w:r>
                          <w:r>
                            <w:rPr>
                              <w:rFonts w:hint="eastAsia" w:cs="Times New Roman"/>
                              <w:sz w:val="18"/>
                              <w:szCs w:val="18"/>
                            </w:rPr>
                            <w:t>56</w:t>
                          </w:r>
                        </w:p>
                      </w:txbxContent>
                    </v:textbox>
                  </v:shape>
                  <v:shape id="_x0000_s2143" o:spid="_x0000_s2143" o:spt="202" type="#_x0000_t202" style="position:absolute;left:3939;top:8522;height:303;width:555;" stroked="f" coordsize="21600,21600">
                    <v:path/>
                    <v:fill focussize="0,0"/>
                    <v:stroke on="f" joinstyle="miter"/>
                    <v:imagedata o:title=""/>
                    <o:lock v:ext="edit"/>
                    <v:textbox>
                      <w:txbxContent>
                        <w:p>
                          <w:pPr>
                            <w:snapToGrid w:val="0"/>
                            <w:spacing w:line="240" w:lineRule="atLeast"/>
                            <w:ind w:firstLine="0" w:firstLineChars="0"/>
                            <w:rPr>
                              <w:rFonts w:cs="Times New Roman"/>
                              <w:sz w:val="18"/>
                              <w:szCs w:val="18"/>
                            </w:rPr>
                          </w:pPr>
                          <w:r>
                            <w:rPr>
                              <w:rFonts w:hint="eastAsia" w:cs="Times New Roman"/>
                              <w:sz w:val="18"/>
                              <w:szCs w:val="18"/>
                            </w:rPr>
                            <w:t>0.08</w:t>
                          </w:r>
                        </w:p>
                      </w:txbxContent>
                    </v:textbox>
                  </v:shape>
                  <v:shape id="_x0000_s2144" o:spid="_x0000_s2144" o:spt="202" type="#_x0000_t202" style="position:absolute;left:2029;top:8428;height:305;width:620;" stroked="f" coordsize="21600,21600">
                    <v:path/>
                    <v:fill focussize="0,0"/>
                    <v:stroke on="f" joinstyle="miter"/>
                    <v:imagedata o:title=""/>
                    <o:lock v:ext="edit"/>
                    <v:textbox>
                      <w:txbxContent>
                        <w:p>
                          <w:pPr>
                            <w:snapToGrid w:val="0"/>
                            <w:spacing w:line="240" w:lineRule="atLeast"/>
                            <w:ind w:firstLine="0" w:firstLineChars="0"/>
                            <w:jc w:val="center"/>
                            <w:rPr>
                              <w:rFonts w:cs="Times New Roman"/>
                              <w:sz w:val="18"/>
                              <w:szCs w:val="18"/>
                            </w:rPr>
                          </w:pPr>
                          <w:r>
                            <w:rPr>
                              <w:rFonts w:hint="eastAsia" w:cs="Times New Roman"/>
                              <w:sz w:val="18"/>
                              <w:szCs w:val="18"/>
                            </w:rPr>
                            <w:t>0.1</w:t>
                          </w:r>
                        </w:p>
                      </w:txbxContent>
                    </v:textbox>
                  </v:shape>
                  <v:shape id="_x0000_s2145" o:spid="_x0000_s2145" o:spt="202" type="#_x0000_t202" style="position:absolute;left:2739;top:8637;height:305;width:1041;" coordsize="21600,21600">
                    <v:path/>
                    <v:fill focussize="0,0"/>
                    <v:stroke joinstyle="miter"/>
                    <v:imagedata o:title=""/>
                    <o:lock v:ext="edit"/>
                    <v:textbox>
                      <w:txbxContent>
                        <w:p>
                          <w:pPr>
                            <w:snapToGrid w:val="0"/>
                            <w:spacing w:line="240" w:lineRule="atLeast"/>
                            <w:ind w:firstLine="0" w:firstLineChars="0"/>
                            <w:jc w:val="center"/>
                            <w:rPr>
                              <w:rFonts w:cs="Times New Roman"/>
                              <w:sz w:val="18"/>
                              <w:szCs w:val="18"/>
                            </w:rPr>
                          </w:pPr>
                          <w:r>
                            <w:rPr>
                              <w:rFonts w:hint="eastAsia" w:cs="Times New Roman"/>
                              <w:sz w:val="18"/>
                              <w:szCs w:val="18"/>
                            </w:rPr>
                            <w:t>检验废液</w:t>
                          </w:r>
                        </w:p>
                      </w:txbxContent>
                    </v:textbox>
                  </v:shape>
                  <v:shape id="_x0000_s2148" o:spid="_x0000_s2148" o:spt="202" type="#_x0000_t202" style="position:absolute;left:2996;top:9451;height:304;width:978;" coordsize="21600,21600">
                    <v:path/>
                    <v:fill focussize="0,0"/>
                    <v:stroke joinstyle="miter"/>
                    <v:imagedata o:title=""/>
                    <o:lock v:ext="edit"/>
                    <v:textbox>
                      <w:txbxContent>
                        <w:p>
                          <w:pPr>
                            <w:snapToGrid w:val="0"/>
                            <w:spacing w:line="240" w:lineRule="atLeast"/>
                            <w:ind w:firstLine="0" w:firstLineChars="0"/>
                            <w:rPr>
                              <w:rFonts w:cs="Times New Roman"/>
                              <w:sz w:val="18"/>
                              <w:szCs w:val="18"/>
                            </w:rPr>
                          </w:pPr>
                          <w:r>
                            <w:rPr>
                              <w:rFonts w:hint="eastAsia" w:cs="Times New Roman"/>
                              <w:sz w:val="18"/>
                              <w:szCs w:val="18"/>
                            </w:rPr>
                            <w:t>门诊综合楼</w:t>
                          </w:r>
                        </w:p>
                      </w:txbxContent>
                    </v:textbox>
                  </v:shape>
                  <v:shape id="_x0000_s2149" o:spid="_x0000_s2149" o:spt="202" type="#_x0000_t202" style="position:absolute;left:3273;top:10485;height:305;width:1044;" coordsize="21600,21600">
                    <v:path/>
                    <v:fill focussize="0,0"/>
                    <v:stroke joinstyle="miter"/>
                    <v:imagedata o:title=""/>
                    <o:lock v:ext="edit"/>
                    <v:textbox>
                      <w:txbxContent>
                        <w:p>
                          <w:pPr>
                            <w:snapToGrid w:val="0"/>
                            <w:spacing w:line="240" w:lineRule="atLeast"/>
                            <w:ind w:firstLine="0" w:firstLineChars="0"/>
                            <w:jc w:val="center"/>
                            <w:rPr>
                              <w:rFonts w:cs="Times New Roman"/>
                              <w:sz w:val="18"/>
                              <w:szCs w:val="18"/>
                            </w:rPr>
                          </w:pPr>
                          <w:r>
                            <w:rPr>
                              <w:rFonts w:cs="Times New Roman"/>
                              <w:sz w:val="18"/>
                              <w:szCs w:val="18"/>
                            </w:rPr>
                            <w:t>住院楼用水</w:t>
                          </w:r>
                        </w:p>
                      </w:txbxContent>
                    </v:textbox>
                  </v:shape>
                  <v:shape id="_x0000_s2150" o:spid="_x0000_s2150" o:spt="202" type="#_x0000_t202" style="position:absolute;left:2893;top:11404;height:303;width:835;" coordsize="21600,21600">
                    <v:path/>
                    <v:fill focussize="0,0"/>
                    <v:stroke joinstyle="miter"/>
                    <v:imagedata o:title=""/>
                    <o:lock v:ext="edit"/>
                    <v:textbox>
                      <w:txbxContent>
                        <w:p>
                          <w:pPr>
                            <w:snapToGrid w:val="0"/>
                            <w:spacing w:line="240" w:lineRule="atLeast"/>
                            <w:ind w:firstLine="0" w:firstLineChars="0"/>
                            <w:jc w:val="center"/>
                            <w:rPr>
                              <w:rFonts w:cs="Times New Roman"/>
                              <w:sz w:val="18"/>
                              <w:szCs w:val="18"/>
                            </w:rPr>
                          </w:pPr>
                          <w:r>
                            <w:rPr>
                              <w:rFonts w:hint="eastAsia" w:cs="Times New Roman"/>
                              <w:sz w:val="18"/>
                              <w:szCs w:val="18"/>
                            </w:rPr>
                            <w:t>职工用水</w:t>
                          </w:r>
                        </w:p>
                      </w:txbxContent>
                    </v:textbox>
                  </v:shape>
                  <v:shape id="_x0000_s2154" o:spid="_x0000_s2154" o:spt="32" type="#_x0000_t32" style="position:absolute;left:2441;top:10636;height:1;width:832;" filled="f" coordsize="21600,21600">
                    <v:path arrowok="t"/>
                    <v:fill on="f" focussize="0,0"/>
                    <v:stroke endarrow="block"/>
                    <v:imagedata o:title=""/>
                    <o:lock v:ext="edit"/>
                  </v:shape>
                  <v:shape id="_x0000_s2155" o:spid="_x0000_s2155" o:spt="32" type="#_x0000_t32" style="position:absolute;left:2439;top:11542;flip:y;height:3;width:471;" filled="f" coordsize="21600,21600">
                    <v:path arrowok="t"/>
                    <v:fill on="f" focussize="0,0"/>
                    <v:stroke endarrow="block"/>
                    <v:imagedata o:title=""/>
                    <o:lock v:ext="edit"/>
                  </v:shape>
                  <v:shape id="_x0000_s2157" o:spid="_x0000_s2157" o:spt="32" type="#_x0000_t32" style="position:absolute;left:2441;top:9604;flip:y;height:1;width:555;" filled="f" coordsize="21600,21600">
                    <v:path arrowok="t"/>
                    <v:fill on="f" focussize="0,0"/>
                    <v:stroke endarrow="block"/>
                    <v:imagedata o:title=""/>
                    <o:lock v:ext="edit"/>
                  </v:shape>
                  <v:shape id="_x0000_s2158" o:spid="_x0000_s2158" o:spt="202" type="#_x0000_t202" style="position:absolute;left:4693;top:8653;height:305;width:982;" coordsize="21600,21600">
                    <v:path/>
                    <v:fill focussize="0,0"/>
                    <v:stroke joinstyle="miter"/>
                    <v:imagedata o:title=""/>
                    <o:lock v:ext="edit"/>
                    <v:textbox>
                      <w:txbxContent>
                        <w:p>
                          <w:pPr>
                            <w:snapToGrid w:val="0"/>
                            <w:spacing w:line="240" w:lineRule="atLeast"/>
                            <w:ind w:firstLine="0" w:firstLineChars="0"/>
                            <w:jc w:val="center"/>
                            <w:rPr>
                              <w:rFonts w:cs="Times New Roman"/>
                              <w:sz w:val="18"/>
                              <w:szCs w:val="18"/>
                            </w:rPr>
                          </w:pPr>
                          <w:r>
                            <w:rPr>
                              <w:rFonts w:hint="eastAsia" w:cs="Times New Roman"/>
                              <w:sz w:val="18"/>
                              <w:szCs w:val="18"/>
                            </w:rPr>
                            <w:t>医废暂存间</w:t>
                          </w:r>
                        </w:p>
                      </w:txbxContent>
                    </v:textbox>
                  </v:shape>
                  <v:shape id="_x0000_s2159" o:spid="_x0000_s2159" o:spt="202" type="#_x0000_t202" style="position:absolute;left:5973;top:9706;height:305;width:1069;" coordsize="21600,21600">
                    <v:path/>
                    <v:fill focussize="0,0"/>
                    <v:stroke joinstyle="miter"/>
                    <v:imagedata o:title=""/>
                    <o:lock v:ext="edit"/>
                    <v:textbox>
                      <w:txbxContent>
                        <w:p>
                          <w:pPr>
                            <w:snapToGrid w:val="0"/>
                            <w:spacing w:line="240" w:lineRule="atLeast"/>
                            <w:ind w:firstLine="0" w:firstLineChars="0"/>
                            <w:jc w:val="center"/>
                            <w:rPr>
                              <w:rFonts w:cs="Times New Roman"/>
                              <w:sz w:val="18"/>
                              <w:szCs w:val="18"/>
                            </w:rPr>
                          </w:pPr>
                          <w:r>
                            <w:rPr>
                              <w:rFonts w:cs="Times New Roman"/>
                              <w:sz w:val="18"/>
                              <w:szCs w:val="18"/>
                            </w:rPr>
                            <w:t>化粪池</w:t>
                          </w:r>
                        </w:p>
                      </w:txbxContent>
                    </v:textbox>
                  </v:shape>
                  <v:shape id="_x0000_s2160" o:spid="_x0000_s2160" o:spt="202" type="#_x0000_t202" style="position:absolute;left:5971;top:10750;height:306;width:1071;" coordsize="21600,21600">
                    <v:path/>
                    <v:fill focussize="0,0"/>
                    <v:stroke joinstyle="miter"/>
                    <v:imagedata o:title=""/>
                    <o:lock v:ext="edit"/>
                    <v:textbox>
                      <w:txbxContent>
                        <w:p>
                          <w:pPr>
                            <w:snapToGrid w:val="0"/>
                            <w:spacing w:line="240" w:lineRule="atLeast"/>
                            <w:ind w:firstLine="0" w:firstLineChars="0"/>
                            <w:jc w:val="center"/>
                            <w:rPr>
                              <w:rFonts w:cs="Times New Roman"/>
                              <w:sz w:val="18"/>
                              <w:szCs w:val="18"/>
                            </w:rPr>
                          </w:pPr>
                          <w:r>
                            <w:rPr>
                              <w:rFonts w:cs="Times New Roman"/>
                              <w:sz w:val="18"/>
                              <w:szCs w:val="18"/>
                            </w:rPr>
                            <w:t>污水处理站</w:t>
                          </w:r>
                        </w:p>
                      </w:txbxContent>
                    </v:textbox>
                  </v:shape>
                  <v:shape id="_x0000_s2161" o:spid="_x0000_s2161" o:spt="32" type="#_x0000_t32" style="position:absolute;left:3799;top:8789;height:5;width:890;" filled="f" coordsize="21600,21600">
                    <v:path arrowok="t"/>
                    <v:fill on="f" focussize="0,0"/>
                    <v:stroke endarrow="block"/>
                    <v:imagedata o:title=""/>
                    <o:lock v:ext="edit"/>
                  </v:shape>
                  <v:shape id="_x0000_s2163" o:spid="_x0000_s2163" o:spt="32" type="#_x0000_t32" style="position:absolute;left:3729;top:11549;flip:y;height:7;width:1534;" filled="f" coordsize="21600,21600">
                    <v:path arrowok="t"/>
                    <v:fill on="f" focussize="0,0"/>
                    <v:stroke/>
                    <v:imagedata o:title=""/>
                    <o:lock v:ext="edit"/>
                  </v:shape>
                  <v:shape id="_x0000_s2166" o:spid="_x0000_s2166" o:spt="32" type="#_x0000_t32" style="position:absolute;left:6507;top:10011;flip:x;height:739;width:1;" filled="f" coordsize="21600,21600">
                    <v:path arrowok="t"/>
                    <v:fill on="f" focussize="0,0"/>
                    <v:stroke endarrow="block"/>
                    <v:imagedata o:title=""/>
                    <o:lock v:ext="edit"/>
                  </v:shape>
                  <v:shape id="_x0000_s2168" o:spid="_x0000_s2168" o:spt="202" type="#_x0000_t202" style="position:absolute;left:6550;top:10366;height:301;width:680;" stroked="f" coordsize="21600,21600">
                    <v:path/>
                    <v:fill focussize="0,0"/>
                    <v:stroke on="f" joinstyle="miter"/>
                    <v:imagedata o:title=""/>
                    <o:lock v:ext="edit"/>
                    <v:textbox>
                      <w:txbxContent>
                        <w:p>
                          <w:pPr>
                            <w:snapToGrid w:val="0"/>
                            <w:spacing w:line="240" w:lineRule="atLeast"/>
                            <w:ind w:firstLine="0" w:firstLineChars="0"/>
                            <w:jc w:val="center"/>
                            <w:rPr>
                              <w:rFonts w:cs="Times New Roman"/>
                              <w:sz w:val="18"/>
                              <w:szCs w:val="18"/>
                            </w:rPr>
                          </w:pPr>
                          <w:r>
                            <w:rPr>
                              <w:rFonts w:hint="eastAsia" w:cs="Times New Roman"/>
                              <w:sz w:val="18"/>
                              <w:szCs w:val="18"/>
                            </w:rPr>
                            <w:t>11.62</w:t>
                          </w:r>
                        </w:p>
                      </w:txbxContent>
                    </v:textbox>
                  </v:shape>
                  <v:shape id="_x0000_s2169" o:spid="_x0000_s2169" o:spt="202" type="#_x0000_t202" style="position:absolute;left:3273;top:8121;height:307;width:620;" stroked="f" coordsize="21600,21600">
                    <v:path/>
                    <v:fill focussize="0,0"/>
                    <v:stroke on="f" joinstyle="miter"/>
                    <v:imagedata o:title=""/>
                    <o:lock v:ext="edit"/>
                    <v:textbox>
                      <w:txbxContent>
                        <w:p>
                          <w:pPr>
                            <w:snapToGrid w:val="0"/>
                            <w:spacing w:line="240" w:lineRule="atLeast"/>
                            <w:ind w:firstLine="0" w:firstLineChars="0"/>
                            <w:jc w:val="center"/>
                            <w:rPr>
                              <w:rFonts w:cs="Times New Roman"/>
                              <w:sz w:val="18"/>
                              <w:szCs w:val="18"/>
                            </w:rPr>
                          </w:pPr>
                          <w:r>
                            <w:rPr>
                              <w:rFonts w:cs="Times New Roman"/>
                              <w:sz w:val="18"/>
                              <w:szCs w:val="18"/>
                            </w:rPr>
                            <w:t>0.</w:t>
                          </w:r>
                          <w:r>
                            <w:rPr>
                              <w:rFonts w:hint="eastAsia" w:cs="Times New Roman"/>
                              <w:sz w:val="18"/>
                              <w:szCs w:val="18"/>
                            </w:rPr>
                            <w:t>02</w:t>
                          </w:r>
                        </w:p>
                      </w:txbxContent>
                    </v:textbox>
                  </v:shape>
                  <v:shape id="_x0000_s2171" o:spid="_x0000_s2171" o:spt="202" type="#_x0000_t202" style="position:absolute;left:2528;top:9235;height:305;width:504;v-text-anchor:middle;" stroked="f" coordsize="21600,21600">
                    <v:path/>
                    <v:fill focussize="0,0"/>
                    <v:stroke on="f" joinstyle="miter"/>
                    <v:imagedata o:title=""/>
                    <o:lock v:ext="edit"/>
                    <v:textbox inset="0mm,0mm,0mm,0mm">
                      <w:txbxContent>
                        <w:p>
                          <w:pPr>
                            <w:snapToGrid w:val="0"/>
                            <w:spacing w:line="240" w:lineRule="atLeast"/>
                            <w:ind w:firstLine="0" w:firstLineChars="0"/>
                            <w:jc w:val="center"/>
                            <w:rPr>
                              <w:rFonts w:cs="Times New Roman"/>
                              <w:sz w:val="18"/>
                              <w:szCs w:val="18"/>
                            </w:rPr>
                          </w:pPr>
                          <w:r>
                            <w:rPr>
                              <w:rFonts w:cs="Times New Roman"/>
                              <w:sz w:val="18"/>
                              <w:szCs w:val="18"/>
                            </w:rPr>
                            <w:t>0.</w:t>
                          </w:r>
                          <w:r>
                            <w:rPr>
                              <w:rFonts w:hint="eastAsia" w:cs="Times New Roman"/>
                              <w:sz w:val="18"/>
                              <w:szCs w:val="18"/>
                            </w:rPr>
                            <w:t>7</w:t>
                          </w:r>
                        </w:p>
                      </w:txbxContent>
                    </v:textbox>
                  </v:shape>
                  <v:shape id="_x0000_s2172" o:spid="_x0000_s2172" o:spt="38" type="#_x0000_t38" style="position:absolute;left:3319;top:8355;height:382;width:183;rotation:-5898240f;" filled="f" coordsize="21600,21600" adj="10753">
                    <v:path arrowok="t"/>
                    <v:fill on="f" focussize="0,0"/>
                    <v:stroke dashstyle="dash" endarrow="block"/>
                    <v:imagedata o:title=""/>
                    <o:lock v:ext="edit"/>
                  </v:shape>
                  <v:shape id="_x0000_s2173" o:spid="_x0000_s2173" o:spt="202" type="#_x0000_t202" style="position:absolute;left:3942;top:9984;height:301;width:556;" stroked="f" coordsize="21600,21600">
                    <v:path/>
                    <v:fill focussize="0,0"/>
                    <v:stroke on="f" joinstyle="miter"/>
                    <v:imagedata o:title=""/>
                    <o:lock v:ext="edit"/>
                    <v:textbox>
                      <w:txbxContent>
                        <w:p>
                          <w:pPr>
                            <w:snapToGrid w:val="0"/>
                            <w:spacing w:line="240" w:lineRule="atLeast"/>
                            <w:ind w:firstLine="0" w:firstLineChars="0"/>
                            <w:rPr>
                              <w:rFonts w:cs="Times New Roman"/>
                              <w:sz w:val="18"/>
                              <w:szCs w:val="18"/>
                            </w:rPr>
                          </w:pPr>
                          <w:r>
                            <w:rPr>
                              <w:rFonts w:hint="eastAsia" w:cs="Times New Roman"/>
                              <w:sz w:val="18"/>
                              <w:szCs w:val="18"/>
                            </w:rPr>
                            <w:t>2.16</w:t>
                          </w:r>
                        </w:p>
                      </w:txbxContent>
                    </v:textbox>
                  </v:shape>
                  <v:shape id="_x0000_s2174" o:spid="_x0000_s2174" o:spt="38" type="#_x0000_t38" style="position:absolute;left:3908;top:10172;height:425;width:200;rotation:-5898240f;" filled="f" coordsize="21600,21600" adj="10800">
                    <v:path arrowok="t"/>
                    <v:fill on="f" focussize="0,0"/>
                    <v:stroke dashstyle="dash" endarrow="block"/>
                    <v:imagedata o:title=""/>
                    <o:lock v:ext="edit"/>
                  </v:shape>
                  <v:shape id="_x0000_s2175" o:spid="_x0000_s2175" o:spt="38" type="#_x0000_t38" style="position:absolute;left:3554;top:11214;height:205;width:153;rotation:-5898240f;" filled="f" coordsize="21600,21600" adj="10856">
                    <v:path arrowok="t"/>
                    <v:fill on="f" focussize="0,0"/>
                    <v:stroke dashstyle="dash" endarrow="block"/>
                    <v:imagedata o:title=""/>
                    <o:lock v:ext="edit"/>
                  </v:shape>
                  <v:shape id="_x0000_s2178" o:spid="_x0000_s2178" o:spt="38" type="#_x0000_t38" style="position:absolute;left:3373;top:9239;height:306;width:178;rotation:-5898240f;" filled="f" coordsize="21600,21600" adj="10800">
                    <v:path arrowok="t"/>
                    <v:fill on="f" focussize="0,0"/>
                    <v:stroke dashstyle="dash" endarrow="block"/>
                    <v:imagedata o:title=""/>
                    <o:lock v:ext="edit"/>
                  </v:shape>
                  <v:shape id="_x0000_s2186" o:spid="_x0000_s2186" o:spt="202" type="#_x0000_t202" style="position:absolute;left:5334;top:11554;height:303;width:1280;" stroked="f" coordsize="21600,21600">
                    <v:path/>
                    <v:fill focussize="0,0"/>
                    <v:stroke on="f" joinstyle="miter"/>
                    <v:imagedata o:title=""/>
                    <o:lock v:ext="edit"/>
                    <v:textbox>
                      <w:txbxContent>
                        <w:p>
                          <w:pPr>
                            <w:snapToGrid w:val="0"/>
                            <w:spacing w:line="240" w:lineRule="atLeast"/>
                            <w:ind w:firstLine="0" w:firstLineChars="0"/>
                            <w:jc w:val="center"/>
                            <w:rPr>
                              <w:rFonts w:cs="Times New Roman"/>
                              <w:sz w:val="18"/>
                              <w:szCs w:val="18"/>
                            </w:rPr>
                          </w:pPr>
                          <w:r>
                            <w:rPr>
                              <w:rFonts w:hint="eastAsia" w:cs="Times New Roman"/>
                              <w:sz w:val="18"/>
                              <w:szCs w:val="18"/>
                            </w:rPr>
                            <w:t>污水管网建成前</w:t>
                          </w:r>
                        </w:p>
                      </w:txbxContent>
                    </v:textbox>
                  </v:shape>
                  <v:shape id="_x0000_s2188" o:spid="_x0000_s2188" o:spt="32" type="#_x0000_t32" style="position:absolute;left:1589;top:10438;height:0;width:852;" filled="f" coordsize="21600,21600">
                    <v:path arrowok="t"/>
                    <v:fill on="f" focussize="0,0"/>
                    <v:stroke/>
                    <v:imagedata o:title=""/>
                    <o:lock v:ext="edit"/>
                  </v:shape>
                  <v:shape id="_x0000_s2189" o:spid="_x0000_s2189" o:spt="202" type="#_x0000_t202" style="position:absolute;left:1553;top:10474;height:301;width:801;" stroked="f" coordsize="21600,21600">
                    <v:path/>
                    <v:fill focussize="0,0"/>
                    <v:stroke on="f" joinstyle="miter"/>
                    <v:imagedata o:title=""/>
                    <o:lock v:ext="edit"/>
                    <v:textbox>
                      <w:txbxContent>
                        <w:p>
                          <w:pPr>
                            <w:snapToGrid w:val="0"/>
                            <w:spacing w:line="240" w:lineRule="atLeast"/>
                            <w:ind w:firstLine="0" w:firstLineChars="0"/>
                            <w:jc w:val="center"/>
                            <w:rPr>
                              <w:rFonts w:cs="Times New Roman"/>
                              <w:sz w:val="18"/>
                              <w:szCs w:val="18"/>
                            </w:rPr>
                          </w:pPr>
                          <w:r>
                            <w:rPr>
                              <w:rFonts w:hint="eastAsia" w:cs="Times New Roman"/>
                              <w:sz w:val="18"/>
                              <w:szCs w:val="18"/>
                            </w:rPr>
                            <w:t>15.026</w:t>
                          </w:r>
                        </w:p>
                      </w:txbxContent>
                    </v:textbox>
                  </v:shape>
                  <v:shape id="_x0000_s2190" o:spid="_x0000_s2190" o:spt="202" type="#_x0000_t202" style="position:absolute;left:1603;top:10034;height:302;width:799;" stroked="f" coordsize="21600,21600">
                    <v:path/>
                    <v:fill focussize="0,0"/>
                    <v:stroke on="f" joinstyle="miter"/>
                    <v:imagedata o:title=""/>
                    <o:lock v:ext="edit"/>
                    <v:textbox>
                      <w:txbxContent>
                        <w:p>
                          <w:pPr>
                            <w:snapToGrid w:val="0"/>
                            <w:spacing w:line="240" w:lineRule="atLeast"/>
                            <w:ind w:firstLine="0" w:firstLineChars="0"/>
                            <w:jc w:val="center"/>
                            <w:rPr>
                              <w:rFonts w:cs="Times New Roman"/>
                              <w:sz w:val="18"/>
                              <w:szCs w:val="18"/>
                            </w:rPr>
                          </w:pPr>
                          <w:r>
                            <w:rPr>
                              <w:rFonts w:cs="Times New Roman"/>
                              <w:sz w:val="18"/>
                              <w:szCs w:val="18"/>
                            </w:rPr>
                            <w:t>自来水</w:t>
                          </w:r>
                        </w:p>
                      </w:txbxContent>
                    </v:textbox>
                  </v:shape>
                  <v:shape id="_x0000_s2191" o:spid="_x0000_s2191" o:spt="32" type="#_x0000_t32" style="position:absolute;left:6507;top:11056;height:805;width:1;" filled="f" coordsize="21600,21600">
                    <v:path arrowok="t"/>
                    <v:fill on="f" focussize="0,0"/>
                    <v:stroke/>
                    <v:imagedata o:title=""/>
                    <o:lock v:ext="edit"/>
                  </v:shape>
                  <v:shape id="_x0000_s2194" o:spid="_x0000_s2194" o:spt="202" type="#_x0000_t202" style="position:absolute;left:2645;top:14468;height:332;width:5334;" stroked="f" coordsize="21600,21600">
                    <v:path/>
                    <v:fill focussize="0,0"/>
                    <v:stroke on="f" joinstyle="miter"/>
                    <v:imagedata o:title=""/>
                    <o:lock v:ext="edit"/>
                    <v:textbox>
                      <w:txbxContent>
                        <w:p>
                          <w:pPr>
                            <w:snapToGrid w:val="0"/>
                            <w:spacing w:line="240" w:lineRule="atLeast"/>
                            <w:ind w:firstLine="482"/>
                            <w:rPr>
                              <w:rFonts w:cs="Times New Roman"/>
                              <w:b/>
                            </w:rPr>
                          </w:pPr>
                          <w:r>
                            <w:rPr>
                              <w:rFonts w:cs="Times New Roman"/>
                              <w:b/>
                            </w:rPr>
                            <w:t>图4-3项目水量平衡示意图   单位：m</w:t>
                          </w:r>
                          <w:r>
                            <w:rPr>
                              <w:rFonts w:cs="Times New Roman"/>
                              <w:b/>
                              <w:vertAlign w:val="superscript"/>
                            </w:rPr>
                            <w:t>3</w:t>
                          </w:r>
                          <w:r>
                            <w:rPr>
                              <w:rFonts w:cs="Times New Roman"/>
                              <w:b/>
                            </w:rPr>
                            <w:t>/d</w:t>
                          </w:r>
                        </w:p>
                      </w:txbxContent>
                    </v:textbox>
                  </v:shape>
                  <v:line id="_x0000_s2195" o:spid="_x0000_s2195" o:spt="20" style="position:absolute;left:2459;top:8729;flip:x y;height:5300;width:10;" coordsize="21600,21600">
                    <v:path arrowok="t"/>
                    <v:fill focussize="0,0"/>
                    <v:stroke/>
                    <v:imagedata o:title=""/>
                    <o:lock v:ext="edit"/>
                  </v:line>
                  <v:line id="_x0000_s2196" o:spid="_x0000_s2196" o:spt="20" style="position:absolute;left:2459;top:8741;height:0;width:274;" coordsize="21600,21600">
                    <v:path arrowok="t"/>
                    <v:fill focussize="0,0"/>
                    <v:stroke endarrow="block"/>
                    <v:imagedata o:title=""/>
                    <o:lock v:ext="edit"/>
                  </v:line>
                  <v:line id="_x0000_s2197" o:spid="_x0000_s2197" o:spt="20" style="position:absolute;left:4305;top:10634;flip:y;height:1;width:975;" coordsize="21600,21600">
                    <v:path arrowok="t"/>
                    <v:fill focussize="0,0"/>
                    <v:stroke/>
                    <v:imagedata o:title=""/>
                    <o:lock v:ext="edit"/>
                  </v:line>
                  <v:line id="_x0000_s2198" o:spid="_x0000_s2198" o:spt="20" style="position:absolute;left:5272;top:9549;flip:x y;height:3493;width:64;" coordsize="21600,21600">
                    <v:path arrowok="t"/>
                    <v:fill focussize="0,0"/>
                    <v:stroke/>
                    <v:imagedata o:title=""/>
                    <o:lock v:ext="edit"/>
                  </v:line>
                  <v:line id="_x0000_s2199" o:spid="_x0000_s2199" o:spt="20" style="position:absolute;left:3974;top:9571;height:0;width:1286;" coordsize="21600,21600">
                    <v:path arrowok="t"/>
                    <v:fill focussize="0,0"/>
                    <v:stroke/>
                    <v:imagedata o:title=""/>
                    <o:lock v:ext="edit"/>
                  </v:line>
                  <v:line id="_x0000_s2200" o:spid="_x0000_s2200" o:spt="20" style="position:absolute;left:5269;top:9860;height:1;width:691;" coordsize="21600,21600">
                    <v:path arrowok="t"/>
                    <v:fill focussize="0,0"/>
                    <v:stroke endarrow="block"/>
                    <v:imagedata o:title=""/>
                    <o:lock v:ext="edit"/>
                  </v:line>
                  <v:shape id="_x0000_s2204" o:spid="_x0000_s2204" o:spt="202" type="#_x0000_t202" style="position:absolute;left:6552;top:11553;height:302;width:1270;" stroked="f" coordsize="21600,21600">
                    <v:path/>
                    <v:fill focussize="0,0"/>
                    <v:stroke on="f" joinstyle="miter"/>
                    <v:imagedata o:title=""/>
                    <o:lock v:ext="edit"/>
                    <v:textbox>
                      <w:txbxContent>
                        <w:p>
                          <w:pPr>
                            <w:snapToGrid w:val="0"/>
                            <w:spacing w:line="240" w:lineRule="atLeast"/>
                            <w:ind w:firstLine="0" w:firstLineChars="0"/>
                            <w:jc w:val="center"/>
                            <w:rPr>
                              <w:rFonts w:cs="Times New Roman"/>
                              <w:sz w:val="18"/>
                              <w:szCs w:val="18"/>
                            </w:rPr>
                          </w:pPr>
                          <w:r>
                            <w:rPr>
                              <w:rFonts w:hint="eastAsia" w:cs="Times New Roman"/>
                              <w:sz w:val="18"/>
                              <w:szCs w:val="18"/>
                            </w:rPr>
                            <w:t>污水管网建成后</w:t>
                          </w:r>
                        </w:p>
                      </w:txbxContent>
                    </v:textbox>
                  </v:shape>
                  <v:shape id="_x0000_s2205" o:spid="_x0000_s2205" o:spt="202" type="#_x0000_t202" style="position:absolute;left:6133;top:12294;height:301;width:1385;" stroked="f" coordsize="21600,21600">
                    <v:path/>
                    <v:fill focussize="0,0"/>
                    <v:stroke on="f" joinstyle="miter"/>
                    <v:imagedata o:title=""/>
                    <o:lock v:ext="edit"/>
                    <v:textbox>
                      <w:txbxContent>
                        <w:p>
                          <w:pPr>
                            <w:snapToGrid w:val="0"/>
                            <w:spacing w:line="240" w:lineRule="atLeast"/>
                            <w:ind w:firstLine="0" w:firstLineChars="0"/>
                            <w:jc w:val="center"/>
                            <w:rPr>
                              <w:rFonts w:cs="Times New Roman"/>
                              <w:sz w:val="18"/>
                              <w:szCs w:val="18"/>
                            </w:rPr>
                          </w:pPr>
                          <w:r>
                            <w:rPr>
                              <w:rFonts w:hint="eastAsia" w:cs="Times New Roman"/>
                              <w:sz w:val="18"/>
                              <w:szCs w:val="18"/>
                            </w:rPr>
                            <w:t>姚安县污水处理厂</w:t>
                          </w:r>
                        </w:p>
                      </w:txbxContent>
                    </v:textbox>
                  </v:shape>
                  <v:shape id="_x0000_s2206" o:spid="_x0000_s2206" o:spt="32" type="#_x0000_t32" style="position:absolute;left:5684;top:8825;flip:y;height:0;width:539;" filled="f" coordsize="21600,21600">
                    <v:path arrowok="t"/>
                    <v:fill on="f" focussize="0,0"/>
                    <v:stroke endarrow="block"/>
                    <v:imagedata o:title=""/>
                    <o:lock v:ext="edit"/>
                  </v:shape>
                  <v:shape id="_x0000_s2208" o:spid="_x0000_s2208" o:spt="202" type="#_x0000_t202" style="position:absolute;left:2959;top:12925;height:300;width:826;" coordsize="21600,21600">
                    <v:path/>
                    <v:fill focussize="0,0"/>
                    <v:stroke joinstyle="miter"/>
                    <v:imagedata o:title=""/>
                    <o:lock v:ext="edit"/>
                    <v:textbox>
                      <w:txbxContent>
                        <w:p>
                          <w:pPr>
                            <w:snapToGrid w:val="0"/>
                            <w:spacing w:line="240" w:lineRule="atLeast"/>
                            <w:ind w:firstLine="0" w:firstLineChars="0"/>
                            <w:jc w:val="center"/>
                            <w:rPr>
                              <w:rFonts w:cs="Times New Roman"/>
                              <w:sz w:val="18"/>
                              <w:szCs w:val="18"/>
                            </w:rPr>
                          </w:pPr>
                          <w:r>
                            <w:rPr>
                              <w:rFonts w:hint="eastAsia" w:cs="Times New Roman"/>
                              <w:sz w:val="18"/>
                              <w:szCs w:val="18"/>
                            </w:rPr>
                            <w:t>职工用水</w:t>
                          </w:r>
                        </w:p>
                      </w:txbxContent>
                    </v:textbox>
                  </v:shape>
                  <v:shape id="_x0000_s2209" o:spid="_x0000_s2209" o:spt="32" type="#_x0000_t32" style="position:absolute;left:2483;top:13052;flip:y;height:0;width:460;" filled="f" coordsize="21600,21600">
                    <v:path arrowok="t"/>
                    <v:fill on="f" focussize="0,0"/>
                    <v:stroke endarrow="block"/>
                    <v:imagedata o:title=""/>
                    <o:lock v:ext="edit"/>
                  </v:shape>
                  <v:shape id="_x0000_s2210" o:spid="_x0000_s2210" o:spt="32" type="#_x0000_t32" style="position:absolute;left:3844;top:13042;flip:y;height:24;width:1492;" filled="f" coordsize="21600,21600">
                    <v:path arrowok="t"/>
                    <v:fill on="f" focussize="0,0"/>
                    <v:stroke/>
                    <v:imagedata o:title=""/>
                    <o:lock v:ext="edit"/>
                  </v:shape>
                  <v:shape id="_x0000_s2211" o:spid="_x0000_s2211" o:spt="38" type="#_x0000_t38" style="position:absolute;left:3610;top:12733;height:192;width:144;rotation:-5898240f;" filled="f" coordsize="21600,21600" adj="10856">
                    <v:path arrowok="t"/>
                    <v:fill on="f" focussize="0,0"/>
                    <v:stroke dashstyle="dash" endarrow="block"/>
                    <v:imagedata o:title=""/>
                    <o:lock v:ext="edit"/>
                  </v:shape>
                  <v:shape id="_x0000_s2214" o:spid="_x0000_s2214" o:spt="202" type="#_x0000_t202" style="position:absolute;left:2810;top:12151;height:302;width:707;" coordsize="21600,21600">
                    <v:path/>
                    <v:fill focussize="0,0"/>
                    <v:stroke joinstyle="miter"/>
                    <v:imagedata o:title=""/>
                    <o:lock v:ext="edit"/>
                    <v:textbox>
                      <w:txbxContent>
                        <w:p>
                          <w:pPr>
                            <w:snapToGrid w:val="0"/>
                            <w:spacing w:line="240" w:lineRule="atLeast"/>
                            <w:ind w:firstLine="0" w:firstLineChars="0"/>
                            <w:rPr>
                              <w:rFonts w:cs="Times New Roman"/>
                              <w:sz w:val="18"/>
                              <w:szCs w:val="18"/>
                            </w:rPr>
                          </w:pPr>
                          <w:r>
                            <w:rPr>
                              <w:rFonts w:hint="eastAsia" w:cs="Times New Roman"/>
                              <w:sz w:val="18"/>
                              <w:szCs w:val="18"/>
                            </w:rPr>
                            <w:t>隔油池</w:t>
                          </w:r>
                        </w:p>
                      </w:txbxContent>
                    </v:textbox>
                  </v:shape>
                  <v:shape id="_x0000_s2216" o:spid="_x0000_s2216" o:spt="202" type="#_x0000_t202" style="position:absolute;left:2500;top:12476;height:301;width:1221;" stroked="f" coordsize="21600,21600">
                    <v:path/>
                    <v:fill focussize="0,0"/>
                    <v:stroke on="f" joinstyle="miter"/>
                    <v:imagedata o:title=""/>
                    <o:lock v:ext="edit"/>
                    <v:textbox>
                      <w:txbxContent>
                        <w:p>
                          <w:pPr>
                            <w:snapToGrid w:val="0"/>
                            <w:spacing w:line="240" w:lineRule="atLeast"/>
                            <w:ind w:firstLine="0" w:firstLineChars="0"/>
                            <w:rPr>
                              <w:sz w:val="21"/>
                              <w:szCs w:val="21"/>
                            </w:rPr>
                          </w:pPr>
                          <w:r>
                            <w:rPr>
                              <w:rFonts w:hint="eastAsia"/>
                              <w:sz w:val="21"/>
                              <w:szCs w:val="21"/>
                            </w:rPr>
                            <w:t>含油废水0.23</w:t>
                          </w:r>
                        </w:p>
                      </w:txbxContent>
                    </v:textbox>
                  </v:shape>
                  <v:shape id="_x0000_s2220" o:spid="_x0000_s2220" o:spt="202" type="#_x0000_t202" style="position:absolute;left:4145;top:12007;height:603;width:843;" stroked="f" coordsize="21600,21600">
                    <v:path/>
                    <v:fill focussize="0,0"/>
                    <v:stroke on="f" joinstyle="miter"/>
                    <v:imagedata o:title=""/>
                    <o:lock v:ext="edit"/>
                    <v:textbox>
                      <w:txbxContent>
                        <w:p>
                          <w:pPr>
                            <w:snapToGrid w:val="0"/>
                            <w:spacing w:line="240" w:lineRule="atLeast"/>
                            <w:ind w:firstLine="0" w:firstLineChars="0"/>
                            <w:rPr>
                              <w:rFonts w:cs="Times New Roman"/>
                              <w:sz w:val="18"/>
                              <w:szCs w:val="18"/>
                            </w:rPr>
                          </w:pPr>
                          <w:r>
                            <w:rPr>
                              <w:rFonts w:hint="eastAsia" w:cs="Times New Roman"/>
                              <w:sz w:val="18"/>
                              <w:szCs w:val="18"/>
                            </w:rPr>
                            <w:t>委托环卫部门清运</w:t>
                          </w:r>
                        </w:p>
                      </w:txbxContent>
                    </v:textbox>
                  </v:shape>
                  <v:shape id="_x0000_s2221" o:spid="_x0000_s2221" o:spt="32" type="#_x0000_t32" style="position:absolute;left:3534;top:12308;height:0;width:611;" filled="f" coordsize="21600,21600">
                    <v:path arrowok="t"/>
                    <v:fill on="f" focussize="0,0"/>
                    <v:stroke endarrow="block"/>
                    <v:imagedata o:title=""/>
                    <o:lock v:ext="edit"/>
                  </v:shape>
                  <v:shape id="_x0000_s2223" o:spid="_x0000_s2223" o:spt="202" type="#_x0000_t202" style="position:absolute;left:2575;top:13695;height:286;width:557;" stroked="f" coordsize="21600,21600">
                    <v:path/>
                    <v:fill focussize="0,0"/>
                    <v:stroke on="f" joinstyle="miter"/>
                    <v:imagedata o:title=""/>
                    <o:lock v:ext="edit"/>
                    <v:textbox>
                      <w:txbxContent>
                        <w:p>
                          <w:pPr>
                            <w:snapToGrid w:val="0"/>
                            <w:spacing w:line="240" w:lineRule="atLeast"/>
                            <w:ind w:firstLine="0" w:firstLineChars="0"/>
                            <w:jc w:val="center"/>
                            <w:rPr>
                              <w:rFonts w:cs="Times New Roman"/>
                              <w:sz w:val="18"/>
                              <w:szCs w:val="18"/>
                            </w:rPr>
                          </w:pPr>
                          <w:r>
                            <w:rPr>
                              <w:rFonts w:hint="eastAsia" w:cs="Times New Roman"/>
                              <w:sz w:val="18"/>
                              <w:szCs w:val="18"/>
                            </w:rPr>
                            <w:t>0.066</w:t>
                          </w:r>
                        </w:p>
                      </w:txbxContent>
                    </v:textbox>
                  </v:shape>
                  <v:shape id="_x0000_s2224" o:spid="_x0000_s2224" o:spt="202" type="#_x0000_t202" style="position:absolute;left:3290;top:13849;height:301;width:1032;" coordsize="21600,21600">
                    <v:path/>
                    <v:fill focussize="0,0"/>
                    <v:stroke joinstyle="miter"/>
                    <v:imagedata o:title=""/>
                    <o:lock v:ext="edit"/>
                    <v:textbox>
                      <w:txbxContent>
                        <w:p>
                          <w:pPr>
                            <w:snapToGrid w:val="0"/>
                            <w:spacing w:line="240" w:lineRule="atLeast"/>
                            <w:ind w:firstLine="0" w:firstLineChars="0"/>
                            <w:jc w:val="center"/>
                            <w:rPr>
                              <w:rFonts w:cs="Times New Roman"/>
                              <w:sz w:val="18"/>
                              <w:szCs w:val="18"/>
                            </w:rPr>
                          </w:pPr>
                          <w:r>
                            <w:rPr>
                              <w:rFonts w:hint="eastAsia" w:cs="Times New Roman"/>
                              <w:sz w:val="18"/>
                              <w:szCs w:val="18"/>
                            </w:rPr>
                            <w:t>绿化</w:t>
                          </w:r>
                          <w:r>
                            <w:rPr>
                              <w:rFonts w:cs="Times New Roman"/>
                              <w:sz w:val="18"/>
                              <w:szCs w:val="18"/>
                            </w:rPr>
                            <w:t>用水</w:t>
                          </w:r>
                        </w:p>
                      </w:txbxContent>
                    </v:textbox>
                  </v:shape>
                  <v:shape id="_x0000_s2225" o:spid="_x0000_s2225" o:spt="32" type="#_x0000_t32" style="position:absolute;left:2464;top:13992;height:0;width:826;" filled="f" coordsize="21600,21600">
                    <v:path arrowok="t"/>
                    <v:fill on="f" focussize="0,0"/>
                    <v:stroke endarrow="block"/>
                    <v:imagedata o:title=""/>
                    <o:lock v:ext="edit"/>
                  </v:shape>
                  <v:shape id="_x0000_s2226" o:spid="_x0000_s2226" o:spt="202" type="#_x0000_t202" style="position:absolute;left:3956;top:13341;height:285;width:1184;" stroked="f" coordsize="21600,21600">
                    <v:path/>
                    <v:fill focussize="0,0"/>
                    <v:stroke on="f" joinstyle="miter"/>
                    <v:imagedata o:title=""/>
                    <o:lock v:ext="edit"/>
                    <v:textbox>
                      <w:txbxContent>
                        <w:p>
                          <w:pPr>
                            <w:snapToGrid w:val="0"/>
                            <w:spacing w:line="240" w:lineRule="atLeast"/>
                            <w:ind w:firstLine="0" w:firstLineChars="0"/>
                            <w:rPr>
                              <w:rFonts w:cs="Times New Roman"/>
                              <w:sz w:val="18"/>
                              <w:szCs w:val="18"/>
                            </w:rPr>
                          </w:pPr>
                          <w:r>
                            <w:rPr>
                              <w:rFonts w:hint="eastAsia" w:cs="Times New Roman"/>
                              <w:sz w:val="18"/>
                              <w:szCs w:val="18"/>
                            </w:rPr>
                            <w:t>蒸发损耗0.066</w:t>
                          </w:r>
                        </w:p>
                      </w:txbxContent>
                    </v:textbox>
                  </v:shape>
                  <v:shape id="_x0000_s2227" o:spid="_x0000_s2227" o:spt="38" type="#_x0000_t38" style="position:absolute;left:3925;top:13532;height:413;width:190;rotation:-5898240f;" filled="f" coordsize="21600,21600" adj="10800">
                    <v:path arrowok="t"/>
                    <v:fill on="f" focussize="0,0"/>
                    <v:stroke dashstyle="dash" endarrow="block"/>
                    <v:imagedata o:title=""/>
                    <o:lock v:ext="edit"/>
                  </v:shape>
                  <w10:wrap type="none"/>
                  <w10:anchorlock/>
                </v:group>
              </w:pict>
            </w:r>
          </w:p>
          <w:p>
            <w:pPr>
              <w:ind w:firstLine="480"/>
              <w:jc w:val="left"/>
              <w:rPr>
                <w:rFonts w:eastAsia="宋体" w:cs="Times New Roman"/>
                <w:bCs/>
                <w:szCs w:val="24"/>
              </w:rPr>
            </w:pPr>
          </w:p>
          <w:p>
            <w:pPr>
              <w:ind w:firstLine="480"/>
              <w:jc w:val="left"/>
              <w:rPr>
                <w:rFonts w:eastAsia="宋体" w:cs="Times New Roman"/>
                <w:bCs/>
                <w:szCs w:val="24"/>
              </w:rPr>
            </w:pPr>
          </w:p>
          <w:p>
            <w:pPr>
              <w:ind w:firstLine="480"/>
              <w:jc w:val="left"/>
              <w:rPr>
                <w:rFonts w:eastAsia="宋体" w:cs="Times New Roman"/>
                <w:bCs/>
                <w:szCs w:val="24"/>
              </w:rPr>
            </w:pPr>
          </w:p>
          <w:p>
            <w:pPr>
              <w:ind w:firstLine="480"/>
              <w:jc w:val="left"/>
              <w:rPr>
                <w:rFonts w:eastAsia="宋体" w:cs="Times New Roman"/>
                <w:bCs/>
                <w:szCs w:val="24"/>
              </w:rPr>
            </w:pPr>
          </w:p>
          <w:p>
            <w:pPr>
              <w:ind w:firstLine="480"/>
              <w:jc w:val="left"/>
              <w:rPr>
                <w:rFonts w:eastAsia="宋体" w:cs="Times New Roman"/>
                <w:bCs/>
                <w:szCs w:val="24"/>
              </w:rPr>
            </w:pPr>
          </w:p>
          <w:p>
            <w:pPr>
              <w:ind w:firstLine="480"/>
              <w:jc w:val="left"/>
              <w:rPr>
                <w:rFonts w:eastAsia="宋体" w:cs="Times New Roman"/>
                <w:bCs/>
                <w:szCs w:val="24"/>
              </w:rPr>
            </w:pPr>
          </w:p>
          <w:p>
            <w:pPr>
              <w:ind w:firstLine="480"/>
              <w:jc w:val="left"/>
              <w:rPr>
                <w:rFonts w:eastAsia="宋体" w:cs="Times New Roman"/>
                <w:bCs/>
                <w:szCs w:val="24"/>
              </w:rPr>
            </w:pPr>
          </w:p>
          <w:p>
            <w:pPr>
              <w:ind w:firstLine="480"/>
              <w:jc w:val="left"/>
              <w:rPr>
                <w:rFonts w:eastAsia="宋体" w:cs="Times New Roman"/>
                <w:bCs/>
                <w:szCs w:val="24"/>
              </w:rPr>
            </w:pPr>
            <w:r>
              <w:rPr>
                <w:rFonts w:hint="eastAsia" w:eastAsia="宋体" w:cs="Times New Roman"/>
                <w:bCs/>
                <w:szCs w:val="24"/>
              </w:rPr>
              <w:t>本项目为精神病专科医院，污水水质情况参照</w:t>
            </w:r>
            <w:r>
              <w:rPr>
                <w:rFonts w:hint="eastAsia"/>
              </w:rPr>
              <w:t>《医院污水处理工程技术规范》（HJ2029-2013）</w:t>
            </w:r>
            <w:r>
              <w:rPr>
                <w:rFonts w:hint="eastAsia" w:eastAsia="宋体" w:cs="Times New Roman"/>
                <w:bCs/>
                <w:szCs w:val="24"/>
              </w:rPr>
              <w:t>，</w:t>
            </w:r>
            <w:r>
              <w:rPr>
                <w:rFonts w:hint="eastAsia"/>
              </w:rPr>
              <w:t>现有</w:t>
            </w:r>
            <w:r>
              <w:rPr>
                <w:rFonts w:hint="eastAsia" w:eastAsia="宋体" w:cs="Times New Roman"/>
                <w:bCs/>
                <w:szCs w:val="24"/>
              </w:rPr>
              <w:t>小型医院废水污染物浓度，具体如下。</w:t>
            </w:r>
          </w:p>
          <w:p>
            <w:pPr>
              <w:pStyle w:val="66"/>
            </w:pPr>
            <w:r>
              <w:rPr>
                <w:rFonts w:hint="eastAsia"/>
              </w:rPr>
              <w:t xml:space="preserve">表4-2   </w:t>
            </w:r>
            <w:r>
              <w:rPr>
                <w:rFonts w:hint="eastAsia"/>
                <w:szCs w:val="24"/>
              </w:rPr>
              <w:t>小型医院</w:t>
            </w:r>
            <w:r>
              <w:rPr>
                <w:rFonts w:hint="eastAsia"/>
                <w:bCs w:val="0"/>
                <w:szCs w:val="24"/>
              </w:rPr>
              <w:t>废水污染物浓度</w:t>
            </w:r>
            <w:r>
              <w:rPr>
                <w:rFonts w:hint="eastAsia"/>
              </w:rPr>
              <w:t>一览表</w:t>
            </w:r>
          </w:p>
          <w:tbl>
            <w:tblPr>
              <w:tblStyle w:val="37"/>
              <w:tblW w:w="7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2268"/>
              <w:gridCol w:w="2322"/>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369" w:type="dxa"/>
                  <w:vAlign w:val="center"/>
                </w:tcPr>
                <w:p>
                  <w:pPr>
                    <w:pStyle w:val="146"/>
                  </w:pPr>
                  <w:r>
                    <w:t>序号</w:t>
                  </w:r>
                </w:p>
              </w:tc>
              <w:tc>
                <w:tcPr>
                  <w:tcW w:w="2268" w:type="dxa"/>
                  <w:vAlign w:val="center"/>
                </w:tcPr>
                <w:p>
                  <w:pPr>
                    <w:pStyle w:val="146"/>
                  </w:pPr>
                  <w:r>
                    <w:t>污染物名称</w:t>
                  </w:r>
                </w:p>
              </w:tc>
              <w:tc>
                <w:tcPr>
                  <w:tcW w:w="2322" w:type="dxa"/>
                  <w:vAlign w:val="center"/>
                </w:tcPr>
                <w:p>
                  <w:pPr>
                    <w:pStyle w:val="146"/>
                  </w:pPr>
                  <w:r>
                    <w:t>污水浓度范围（mg/L）</w:t>
                  </w:r>
                </w:p>
              </w:tc>
              <w:tc>
                <w:tcPr>
                  <w:tcW w:w="1987" w:type="dxa"/>
                  <w:vAlign w:val="center"/>
                </w:tcPr>
                <w:p>
                  <w:pPr>
                    <w:pStyle w:val="146"/>
                  </w:pPr>
                  <w: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369" w:type="dxa"/>
                  <w:vAlign w:val="center"/>
                </w:tcPr>
                <w:p>
                  <w:pPr>
                    <w:pStyle w:val="146"/>
                    <w:rPr>
                      <w:bCs/>
                    </w:rPr>
                  </w:pPr>
                  <w:r>
                    <w:rPr>
                      <w:bCs/>
                    </w:rPr>
                    <w:t>1</w:t>
                  </w:r>
                </w:p>
              </w:tc>
              <w:tc>
                <w:tcPr>
                  <w:tcW w:w="2268" w:type="dxa"/>
                  <w:vAlign w:val="center"/>
                </w:tcPr>
                <w:p>
                  <w:pPr>
                    <w:pStyle w:val="146"/>
                    <w:rPr>
                      <w:bCs/>
                    </w:rPr>
                  </w:pPr>
                  <w:r>
                    <w:rPr>
                      <w:bCs/>
                    </w:rPr>
                    <w:t>CODcr</w:t>
                  </w:r>
                </w:p>
              </w:tc>
              <w:tc>
                <w:tcPr>
                  <w:tcW w:w="2322" w:type="dxa"/>
                  <w:vAlign w:val="center"/>
                </w:tcPr>
                <w:p>
                  <w:pPr>
                    <w:pStyle w:val="146"/>
                    <w:rPr>
                      <w:bCs/>
                    </w:rPr>
                  </w:pPr>
                  <w:r>
                    <w:rPr>
                      <w:bCs/>
                    </w:rPr>
                    <w:t>150~300</w:t>
                  </w:r>
                </w:p>
              </w:tc>
              <w:tc>
                <w:tcPr>
                  <w:tcW w:w="1987" w:type="dxa"/>
                  <w:vAlign w:val="center"/>
                </w:tcPr>
                <w:p>
                  <w:pPr>
                    <w:pStyle w:val="146"/>
                    <w:rPr>
                      <w:bCs/>
                    </w:rPr>
                  </w:pPr>
                  <w:r>
                    <w:rPr>
                      <w:bC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369" w:type="dxa"/>
                  <w:vAlign w:val="center"/>
                </w:tcPr>
                <w:p>
                  <w:pPr>
                    <w:pStyle w:val="146"/>
                    <w:rPr>
                      <w:bCs/>
                    </w:rPr>
                  </w:pPr>
                  <w:r>
                    <w:rPr>
                      <w:bCs/>
                    </w:rPr>
                    <w:t>2</w:t>
                  </w:r>
                </w:p>
              </w:tc>
              <w:tc>
                <w:tcPr>
                  <w:tcW w:w="2268" w:type="dxa"/>
                  <w:vAlign w:val="center"/>
                </w:tcPr>
                <w:p>
                  <w:pPr>
                    <w:pStyle w:val="146"/>
                    <w:rPr>
                      <w:bCs/>
                    </w:rPr>
                  </w:pPr>
                  <w:r>
                    <w:rPr>
                      <w:bCs/>
                    </w:rPr>
                    <w:t>BOD</w:t>
                  </w:r>
                  <w:r>
                    <w:rPr>
                      <w:bCs/>
                      <w:vertAlign w:val="subscript"/>
                    </w:rPr>
                    <w:t>5</w:t>
                  </w:r>
                </w:p>
              </w:tc>
              <w:tc>
                <w:tcPr>
                  <w:tcW w:w="2322" w:type="dxa"/>
                  <w:vAlign w:val="center"/>
                </w:tcPr>
                <w:p>
                  <w:pPr>
                    <w:pStyle w:val="146"/>
                    <w:rPr>
                      <w:bCs/>
                    </w:rPr>
                  </w:pPr>
                  <w:r>
                    <w:rPr>
                      <w:bCs/>
                    </w:rPr>
                    <w:t>80~150</w:t>
                  </w:r>
                </w:p>
              </w:tc>
              <w:tc>
                <w:tcPr>
                  <w:tcW w:w="1987" w:type="dxa"/>
                  <w:vAlign w:val="center"/>
                </w:tcPr>
                <w:p>
                  <w:pPr>
                    <w:pStyle w:val="146"/>
                    <w:rPr>
                      <w:bCs/>
                    </w:rPr>
                  </w:pPr>
                  <w:r>
                    <w:rPr>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369" w:type="dxa"/>
                  <w:vAlign w:val="center"/>
                </w:tcPr>
                <w:p>
                  <w:pPr>
                    <w:pStyle w:val="146"/>
                    <w:rPr>
                      <w:bCs/>
                    </w:rPr>
                  </w:pPr>
                  <w:r>
                    <w:rPr>
                      <w:bCs/>
                    </w:rPr>
                    <w:t>3</w:t>
                  </w:r>
                </w:p>
              </w:tc>
              <w:tc>
                <w:tcPr>
                  <w:tcW w:w="2268" w:type="dxa"/>
                  <w:vAlign w:val="center"/>
                </w:tcPr>
                <w:p>
                  <w:pPr>
                    <w:pStyle w:val="146"/>
                    <w:rPr>
                      <w:bCs/>
                    </w:rPr>
                  </w:pPr>
                  <w:r>
                    <w:rPr>
                      <w:bCs/>
                    </w:rPr>
                    <w:t>SS</w:t>
                  </w:r>
                </w:p>
              </w:tc>
              <w:tc>
                <w:tcPr>
                  <w:tcW w:w="2322" w:type="dxa"/>
                  <w:vAlign w:val="center"/>
                </w:tcPr>
                <w:p>
                  <w:pPr>
                    <w:pStyle w:val="146"/>
                    <w:rPr>
                      <w:bCs/>
                    </w:rPr>
                  </w:pPr>
                  <w:r>
                    <w:rPr>
                      <w:bCs/>
                    </w:rPr>
                    <w:t>40~120</w:t>
                  </w:r>
                </w:p>
              </w:tc>
              <w:tc>
                <w:tcPr>
                  <w:tcW w:w="1987" w:type="dxa"/>
                  <w:vAlign w:val="center"/>
                </w:tcPr>
                <w:p>
                  <w:pPr>
                    <w:pStyle w:val="146"/>
                    <w:rPr>
                      <w:bCs/>
                    </w:rPr>
                  </w:pPr>
                  <w:r>
                    <w:rPr>
                      <w:bCs/>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369" w:type="dxa"/>
                  <w:vAlign w:val="center"/>
                </w:tcPr>
                <w:p>
                  <w:pPr>
                    <w:pStyle w:val="146"/>
                    <w:rPr>
                      <w:bCs/>
                    </w:rPr>
                  </w:pPr>
                  <w:r>
                    <w:rPr>
                      <w:bCs/>
                    </w:rPr>
                    <w:t>4</w:t>
                  </w:r>
                </w:p>
              </w:tc>
              <w:tc>
                <w:tcPr>
                  <w:tcW w:w="2268" w:type="dxa"/>
                  <w:vAlign w:val="center"/>
                </w:tcPr>
                <w:p>
                  <w:pPr>
                    <w:pStyle w:val="146"/>
                    <w:rPr>
                      <w:bCs/>
                    </w:rPr>
                  </w:pPr>
                  <w:r>
                    <w:rPr>
                      <w:bCs/>
                    </w:rPr>
                    <w:t>氨氮</w:t>
                  </w:r>
                </w:p>
              </w:tc>
              <w:tc>
                <w:tcPr>
                  <w:tcW w:w="2322" w:type="dxa"/>
                  <w:vAlign w:val="center"/>
                </w:tcPr>
                <w:p>
                  <w:pPr>
                    <w:pStyle w:val="146"/>
                    <w:rPr>
                      <w:bCs/>
                    </w:rPr>
                  </w:pPr>
                  <w:r>
                    <w:rPr>
                      <w:bCs/>
                    </w:rPr>
                    <w:t>10~50</w:t>
                  </w:r>
                </w:p>
              </w:tc>
              <w:tc>
                <w:tcPr>
                  <w:tcW w:w="1987" w:type="dxa"/>
                  <w:vAlign w:val="center"/>
                </w:tcPr>
                <w:p>
                  <w:pPr>
                    <w:pStyle w:val="146"/>
                    <w:rPr>
                      <w:bCs/>
                    </w:rPr>
                  </w:pPr>
                  <w:r>
                    <w:rPr>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369" w:type="dxa"/>
                  <w:vAlign w:val="center"/>
                </w:tcPr>
                <w:p>
                  <w:pPr>
                    <w:pStyle w:val="146"/>
                    <w:rPr>
                      <w:bCs/>
                    </w:rPr>
                  </w:pPr>
                  <w:r>
                    <w:rPr>
                      <w:bCs/>
                    </w:rPr>
                    <w:t>5</w:t>
                  </w:r>
                </w:p>
              </w:tc>
              <w:tc>
                <w:tcPr>
                  <w:tcW w:w="2268" w:type="dxa"/>
                  <w:vAlign w:val="center"/>
                </w:tcPr>
                <w:p>
                  <w:pPr>
                    <w:pStyle w:val="146"/>
                    <w:rPr>
                      <w:bCs/>
                    </w:rPr>
                  </w:pPr>
                  <w:r>
                    <w:rPr>
                      <w:rFonts w:hint="eastAsia"/>
                      <w:bCs/>
                    </w:rPr>
                    <w:t>粪</w:t>
                  </w:r>
                  <w:r>
                    <w:rPr>
                      <w:bCs/>
                    </w:rPr>
                    <w:t>大肠菌</w:t>
                  </w:r>
                  <w:r>
                    <w:rPr>
                      <w:rFonts w:hint="eastAsia"/>
                      <w:bCs/>
                    </w:rPr>
                    <w:t>群</w:t>
                  </w:r>
                </w:p>
              </w:tc>
              <w:tc>
                <w:tcPr>
                  <w:tcW w:w="2322" w:type="dxa"/>
                  <w:vAlign w:val="center"/>
                </w:tcPr>
                <w:p>
                  <w:pPr>
                    <w:pStyle w:val="146"/>
                    <w:rPr>
                      <w:bCs/>
                    </w:rPr>
                  </w:pPr>
                  <w:r>
                    <w:rPr>
                      <w:bCs/>
                    </w:rPr>
                    <w:t>1.0×10</w:t>
                  </w:r>
                  <w:r>
                    <w:rPr>
                      <w:bCs/>
                      <w:vertAlign w:val="superscript"/>
                    </w:rPr>
                    <w:t>6</w:t>
                  </w:r>
                  <w:r>
                    <w:rPr>
                      <w:bCs/>
                    </w:rPr>
                    <w:t>~3.0×10</w:t>
                  </w:r>
                  <w:r>
                    <w:rPr>
                      <w:bCs/>
                      <w:vertAlign w:val="superscript"/>
                    </w:rPr>
                    <w:t>8</w:t>
                  </w:r>
                </w:p>
              </w:tc>
              <w:tc>
                <w:tcPr>
                  <w:tcW w:w="1987" w:type="dxa"/>
                  <w:vAlign w:val="center"/>
                </w:tcPr>
                <w:p>
                  <w:pPr>
                    <w:pStyle w:val="146"/>
                    <w:rPr>
                      <w:bCs/>
                    </w:rPr>
                  </w:pPr>
                  <w:r>
                    <w:rPr>
                      <w:bCs/>
                    </w:rPr>
                    <w:t>1.6×10</w:t>
                  </w:r>
                  <w:r>
                    <w:rPr>
                      <w:bCs/>
                      <w:vertAlign w:val="superscript"/>
                    </w:rPr>
                    <w:t>8</w:t>
                  </w:r>
                </w:p>
              </w:tc>
            </w:tr>
          </w:tbl>
          <w:p>
            <w:pPr>
              <w:ind w:firstLine="480"/>
            </w:pPr>
            <w:r>
              <w:rPr>
                <w:rFonts w:hint="eastAsia"/>
              </w:rPr>
              <w:t>本项目废水处理工艺，采用《医院污水处理工程技术规范》（HJ2029-2013）</w:t>
            </w:r>
            <w:r>
              <w:rPr>
                <w:rFonts w:hint="eastAsia" w:eastAsia="宋体" w:cs="Times New Roman"/>
                <w:bCs/>
                <w:szCs w:val="24"/>
              </w:rPr>
              <w:t>推荐的</w:t>
            </w:r>
            <w:r>
              <w:rPr>
                <w:rFonts w:hint="eastAsia"/>
              </w:rPr>
              <w:t>“二级处理工艺”，设计处理规模不小于15m</w:t>
            </w:r>
            <w:r>
              <w:rPr>
                <w:rFonts w:hint="eastAsia"/>
                <w:vertAlign w:val="superscript"/>
              </w:rPr>
              <w:t>3</w:t>
            </w:r>
            <w:r>
              <w:rPr>
                <w:rFonts w:hint="eastAsia"/>
              </w:rPr>
              <w:t>/d，废水处理工艺确实可行，类比同类项目废水经过卫生院自建的污水处理站处理后，可达到《医疗机构水污染物排放标准》GB18466-2005表2中排放标准及</w:t>
            </w:r>
            <w:r>
              <w:rPr>
                <w:rFonts w:hint="eastAsia" w:cs="Times New Roman"/>
              </w:rPr>
              <w:t>《医疗机构水污染物排放标准》GB18466-2005表2中预处理标准和《污水排入城镇下水道水质标准》（</w:t>
            </w:r>
            <w:r>
              <w:rPr>
                <w:rFonts w:cs="Times New Roman"/>
              </w:rPr>
              <w:t>GB/T31962-2015</w:t>
            </w:r>
            <w:r>
              <w:rPr>
                <w:rFonts w:hint="eastAsia" w:cs="Times New Roman"/>
              </w:rPr>
              <w:t>）表</w:t>
            </w:r>
            <w:r>
              <w:rPr>
                <w:rFonts w:cs="Times New Roman"/>
              </w:rPr>
              <w:t>1</w:t>
            </w:r>
            <w:r>
              <w:rPr>
                <w:rFonts w:hint="eastAsia" w:cs="Times New Roman"/>
              </w:rPr>
              <w:t>（</w:t>
            </w:r>
            <w:r>
              <w:rPr>
                <w:rFonts w:cs="Times New Roman"/>
              </w:rPr>
              <w:t xml:space="preserve">A </w:t>
            </w:r>
            <w:r>
              <w:rPr>
                <w:rFonts w:hint="eastAsia" w:cs="Times New Roman"/>
              </w:rPr>
              <w:t>等级）标准</w:t>
            </w:r>
            <w:r>
              <w:rPr>
                <w:rFonts w:hint="eastAsia"/>
              </w:rPr>
              <w:t>，处理前后废水浓度和污染物产排情况见下表：</w:t>
            </w:r>
          </w:p>
          <w:p>
            <w:pPr>
              <w:pStyle w:val="66"/>
            </w:pPr>
            <w:r>
              <w:rPr>
                <w:rFonts w:hint="eastAsia"/>
              </w:rPr>
              <w:t xml:space="preserve">表4-3 </w:t>
            </w:r>
            <w:r>
              <w:t>本项目水污染物产生和排放情况</w:t>
            </w:r>
          </w:p>
          <w:tbl>
            <w:tblPr>
              <w:tblStyle w:val="36"/>
              <w:tblW w:w="84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80"/>
              <w:gridCol w:w="1080"/>
              <w:gridCol w:w="1500"/>
              <w:gridCol w:w="1240"/>
              <w:gridCol w:w="1080"/>
              <w:gridCol w:w="1080"/>
              <w:gridCol w:w="13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2160" w:type="dxa"/>
                  <w:gridSpan w:val="2"/>
                  <w:tcBorders>
                    <w:tl2br w:val="nil"/>
                    <w:tr2bl w:val="nil"/>
                  </w:tcBorders>
                  <w:shd w:val="clear" w:color="auto" w:fill="auto"/>
                  <w:vAlign w:val="center"/>
                </w:tcPr>
                <w:p>
                  <w:pPr>
                    <w:widowControl/>
                    <w:spacing w:line="240" w:lineRule="auto"/>
                    <w:ind w:firstLine="420" w:firstLineChars="0"/>
                    <w:jc w:val="center"/>
                    <w:rPr>
                      <w:rFonts w:ascii="宋体" w:hAnsi="宋体" w:eastAsia="宋体" w:cs="宋体"/>
                      <w:kern w:val="0"/>
                      <w:sz w:val="21"/>
                      <w:szCs w:val="21"/>
                    </w:rPr>
                  </w:pPr>
                  <w:r>
                    <w:rPr>
                      <w:rFonts w:hint="eastAsia" w:ascii="宋体" w:hAnsi="宋体" w:eastAsia="宋体" w:cs="宋体"/>
                      <w:kern w:val="0"/>
                      <w:sz w:val="21"/>
                      <w:szCs w:val="21"/>
                    </w:rPr>
                    <w:t>污染指标</w:t>
                  </w:r>
                </w:p>
              </w:tc>
              <w:tc>
                <w:tcPr>
                  <w:tcW w:w="150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eastAsia="宋体" w:cs="Times New Roman"/>
                      <w:kern w:val="0"/>
                      <w:sz w:val="21"/>
                      <w:szCs w:val="21"/>
                    </w:rPr>
                    <w:t>COD</w:t>
                  </w:r>
                </w:p>
              </w:tc>
              <w:tc>
                <w:tcPr>
                  <w:tcW w:w="124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eastAsia="宋体" w:cs="Times New Roman"/>
                      <w:kern w:val="0"/>
                      <w:sz w:val="21"/>
                      <w:szCs w:val="21"/>
                    </w:rPr>
                    <w:t>BOD</w:t>
                  </w:r>
                  <w:r>
                    <w:rPr>
                      <w:rFonts w:eastAsia="宋体" w:cs="Times New Roman"/>
                      <w:kern w:val="0"/>
                      <w:sz w:val="21"/>
                      <w:szCs w:val="21"/>
                      <w:vertAlign w:val="subscript"/>
                    </w:rPr>
                    <w:t>5</w:t>
                  </w:r>
                </w:p>
              </w:tc>
              <w:tc>
                <w:tcPr>
                  <w:tcW w:w="108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eastAsia="宋体" w:cs="Times New Roman"/>
                      <w:kern w:val="0"/>
                      <w:sz w:val="21"/>
                      <w:szCs w:val="21"/>
                    </w:rPr>
                    <w:t>SS</w:t>
                  </w:r>
                </w:p>
              </w:tc>
              <w:tc>
                <w:tcPr>
                  <w:tcW w:w="1080" w:type="dxa"/>
                  <w:tcBorders>
                    <w:tl2br w:val="nil"/>
                    <w:tr2bl w:val="nil"/>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氨氮</w:t>
                  </w:r>
                </w:p>
              </w:tc>
              <w:tc>
                <w:tcPr>
                  <w:tcW w:w="1340" w:type="dxa"/>
                  <w:tcBorders>
                    <w:tl2br w:val="nil"/>
                    <w:tr2bl w:val="nil"/>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粪大肠菌群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6" w:hRule="atLeast"/>
              </w:trPr>
              <w:tc>
                <w:tcPr>
                  <w:tcW w:w="1080" w:type="dxa"/>
                  <w:vMerge w:val="restart"/>
                  <w:tcBorders>
                    <w:tl2br w:val="nil"/>
                    <w:tr2bl w:val="nil"/>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产生量</w:t>
                  </w:r>
                </w:p>
                <w:p>
                  <w:pPr>
                    <w:widowControl/>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4241.3</w:t>
                  </w:r>
                </w:p>
              </w:tc>
              <w:tc>
                <w:tcPr>
                  <w:tcW w:w="108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eastAsia="宋体" w:cs="Times New Roman"/>
                      <w:kern w:val="0"/>
                      <w:sz w:val="21"/>
                      <w:szCs w:val="21"/>
                    </w:rPr>
                    <w:t>mg/L</w:t>
                  </w:r>
                </w:p>
              </w:tc>
              <w:tc>
                <w:tcPr>
                  <w:tcW w:w="150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eastAsia="宋体" w:cs="Times New Roman"/>
                      <w:kern w:val="0"/>
                      <w:sz w:val="21"/>
                      <w:szCs w:val="21"/>
                    </w:rPr>
                    <w:t>250</w:t>
                  </w:r>
                </w:p>
              </w:tc>
              <w:tc>
                <w:tcPr>
                  <w:tcW w:w="124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eastAsia="宋体" w:cs="Times New Roman"/>
                      <w:kern w:val="0"/>
                      <w:sz w:val="21"/>
                      <w:szCs w:val="21"/>
                    </w:rPr>
                    <w:t>100</w:t>
                  </w:r>
                </w:p>
              </w:tc>
              <w:tc>
                <w:tcPr>
                  <w:tcW w:w="108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eastAsia="宋体" w:cs="Times New Roman"/>
                      <w:kern w:val="0"/>
                      <w:sz w:val="21"/>
                      <w:szCs w:val="21"/>
                    </w:rPr>
                    <w:t>80</w:t>
                  </w:r>
                </w:p>
              </w:tc>
              <w:tc>
                <w:tcPr>
                  <w:tcW w:w="108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eastAsia="宋体" w:cs="Times New Roman"/>
                      <w:kern w:val="0"/>
                      <w:sz w:val="21"/>
                      <w:szCs w:val="21"/>
                    </w:rPr>
                    <w:t>30</w:t>
                  </w:r>
                </w:p>
              </w:tc>
              <w:tc>
                <w:tcPr>
                  <w:tcW w:w="134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eastAsia="宋体" w:cs="Times New Roman"/>
                      <w:kern w:val="0"/>
                      <w:sz w:val="21"/>
                      <w:szCs w:val="21"/>
                    </w:rPr>
                    <w:t>1.0×10</w:t>
                  </w:r>
                  <w:r>
                    <w:rPr>
                      <w:rFonts w:eastAsia="宋体" w:cs="Times New Roman"/>
                      <w:kern w:val="0"/>
                      <w:sz w:val="21"/>
                      <w:szCs w:val="21"/>
                      <w:vertAlign w:val="superscript"/>
                    </w:rPr>
                    <w:t>7</w:t>
                  </w:r>
                  <w:r>
                    <w:rPr>
                      <w:rFonts w:hint="eastAsia" w:ascii="宋体" w:hAnsi="宋体" w:eastAsia="宋体" w:cs="Times New Roman"/>
                      <w:kern w:val="0"/>
                      <w:sz w:val="21"/>
                      <w:szCs w:val="21"/>
                    </w:rPr>
                    <w:t>个</w:t>
                  </w:r>
                  <w:r>
                    <w:rPr>
                      <w:rFonts w:eastAsia="宋体" w:cs="Times New Roman"/>
                      <w:kern w:val="0"/>
                      <w:sz w:val="21"/>
                      <w:szCs w:val="21"/>
                    </w:rPr>
                    <w:t>/L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1080" w:type="dxa"/>
                  <w:vMerge w:val="continue"/>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p>
              </w:tc>
              <w:tc>
                <w:tcPr>
                  <w:tcW w:w="108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eastAsia="宋体" w:cs="Times New Roman"/>
                      <w:kern w:val="0"/>
                      <w:sz w:val="21"/>
                      <w:szCs w:val="21"/>
                    </w:rPr>
                    <w:t>t/a</w:t>
                  </w:r>
                </w:p>
              </w:tc>
              <w:tc>
                <w:tcPr>
                  <w:tcW w:w="150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1.06</w:t>
                  </w:r>
                </w:p>
              </w:tc>
              <w:tc>
                <w:tcPr>
                  <w:tcW w:w="124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0.42</w:t>
                  </w:r>
                </w:p>
              </w:tc>
              <w:tc>
                <w:tcPr>
                  <w:tcW w:w="108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0.34</w:t>
                  </w:r>
                </w:p>
              </w:tc>
              <w:tc>
                <w:tcPr>
                  <w:tcW w:w="108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0.13</w:t>
                  </w:r>
                </w:p>
              </w:tc>
              <w:tc>
                <w:tcPr>
                  <w:tcW w:w="134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eastAsia="宋体" w:cs="Times New Roman"/>
                      <w:kern w:val="0"/>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1080" w:type="dxa"/>
                  <w:vMerge w:val="restart"/>
                  <w:tcBorders>
                    <w:tl2br w:val="nil"/>
                    <w:tr2bl w:val="nil"/>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排放量</w:t>
                  </w:r>
                </w:p>
                <w:p>
                  <w:pPr>
                    <w:widowControl/>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4241.3</w:t>
                  </w:r>
                </w:p>
              </w:tc>
              <w:tc>
                <w:tcPr>
                  <w:tcW w:w="108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eastAsia="宋体" w:cs="Times New Roman"/>
                      <w:kern w:val="0"/>
                      <w:sz w:val="21"/>
                      <w:szCs w:val="21"/>
                    </w:rPr>
                    <w:t>mg/L</w:t>
                  </w:r>
                </w:p>
              </w:tc>
              <w:tc>
                <w:tcPr>
                  <w:tcW w:w="150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eastAsia="宋体" w:cs="Times New Roman"/>
                      <w:kern w:val="0"/>
                      <w:sz w:val="21"/>
                      <w:szCs w:val="21"/>
                    </w:rPr>
                    <w:t>60</w:t>
                  </w:r>
                </w:p>
              </w:tc>
              <w:tc>
                <w:tcPr>
                  <w:tcW w:w="124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eastAsia="宋体" w:cs="Times New Roman"/>
                      <w:kern w:val="0"/>
                      <w:sz w:val="21"/>
                      <w:szCs w:val="21"/>
                    </w:rPr>
                    <w:t>20</w:t>
                  </w:r>
                </w:p>
              </w:tc>
              <w:tc>
                <w:tcPr>
                  <w:tcW w:w="108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eastAsia="宋体" w:cs="Times New Roman"/>
                      <w:kern w:val="0"/>
                      <w:sz w:val="21"/>
                      <w:szCs w:val="21"/>
                    </w:rPr>
                    <w:t>20</w:t>
                  </w:r>
                </w:p>
              </w:tc>
              <w:tc>
                <w:tcPr>
                  <w:tcW w:w="108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eastAsia="宋体" w:cs="Times New Roman"/>
                      <w:kern w:val="0"/>
                      <w:sz w:val="21"/>
                      <w:szCs w:val="21"/>
                    </w:rPr>
                    <w:t>15</w:t>
                  </w:r>
                </w:p>
              </w:tc>
              <w:tc>
                <w:tcPr>
                  <w:tcW w:w="1340" w:type="dxa"/>
                  <w:tcBorders>
                    <w:tl2br w:val="nil"/>
                    <w:tr2bl w:val="nil"/>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1080" w:type="dxa"/>
                  <w:vMerge w:val="continue"/>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p>
              </w:tc>
              <w:tc>
                <w:tcPr>
                  <w:tcW w:w="108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eastAsia="宋体" w:cs="Times New Roman"/>
                      <w:kern w:val="0"/>
                      <w:sz w:val="21"/>
                      <w:szCs w:val="21"/>
                    </w:rPr>
                    <w:t>t/a</w:t>
                  </w:r>
                </w:p>
              </w:tc>
              <w:tc>
                <w:tcPr>
                  <w:tcW w:w="150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0.25</w:t>
                  </w:r>
                </w:p>
              </w:tc>
              <w:tc>
                <w:tcPr>
                  <w:tcW w:w="124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eastAsia="宋体" w:cs="Times New Roman"/>
                      <w:kern w:val="0"/>
                      <w:sz w:val="21"/>
                      <w:szCs w:val="21"/>
                    </w:rPr>
                    <w:t>0.0</w:t>
                  </w:r>
                  <w:r>
                    <w:rPr>
                      <w:rFonts w:hint="eastAsia" w:eastAsia="宋体" w:cs="Times New Roman"/>
                      <w:kern w:val="0"/>
                      <w:sz w:val="21"/>
                      <w:szCs w:val="21"/>
                    </w:rPr>
                    <w:t>8</w:t>
                  </w:r>
                  <w:r>
                    <w:rPr>
                      <w:rFonts w:eastAsia="宋体" w:cs="Times New Roman"/>
                      <w:kern w:val="0"/>
                      <w:sz w:val="21"/>
                      <w:szCs w:val="21"/>
                    </w:rPr>
                    <w:t xml:space="preserve"> </w:t>
                  </w:r>
                </w:p>
              </w:tc>
              <w:tc>
                <w:tcPr>
                  <w:tcW w:w="108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eastAsia="宋体" w:cs="Times New Roman"/>
                      <w:kern w:val="0"/>
                      <w:sz w:val="21"/>
                      <w:szCs w:val="21"/>
                    </w:rPr>
                    <w:t>0.0</w:t>
                  </w:r>
                  <w:r>
                    <w:rPr>
                      <w:rFonts w:hint="eastAsia" w:eastAsia="宋体" w:cs="Times New Roman"/>
                      <w:kern w:val="0"/>
                      <w:sz w:val="21"/>
                      <w:szCs w:val="21"/>
                    </w:rPr>
                    <w:t>8</w:t>
                  </w:r>
                  <w:r>
                    <w:rPr>
                      <w:rFonts w:eastAsia="宋体" w:cs="Times New Roman"/>
                      <w:kern w:val="0"/>
                      <w:sz w:val="21"/>
                      <w:szCs w:val="21"/>
                    </w:rPr>
                    <w:t xml:space="preserve"> </w:t>
                  </w:r>
                </w:p>
              </w:tc>
              <w:tc>
                <w:tcPr>
                  <w:tcW w:w="108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eastAsia="宋体" w:cs="Times New Roman"/>
                      <w:kern w:val="0"/>
                      <w:sz w:val="21"/>
                      <w:szCs w:val="21"/>
                    </w:rPr>
                    <w:t>0.0</w:t>
                  </w:r>
                  <w:r>
                    <w:rPr>
                      <w:rFonts w:hint="eastAsia" w:eastAsia="宋体" w:cs="Times New Roman"/>
                      <w:kern w:val="0"/>
                      <w:sz w:val="21"/>
                      <w:szCs w:val="21"/>
                    </w:rPr>
                    <w:t>6</w:t>
                  </w:r>
                  <w:r>
                    <w:rPr>
                      <w:rFonts w:eastAsia="宋体" w:cs="Times New Roman"/>
                      <w:kern w:val="0"/>
                      <w:sz w:val="21"/>
                      <w:szCs w:val="21"/>
                    </w:rPr>
                    <w:t xml:space="preserve"> </w:t>
                  </w:r>
                </w:p>
              </w:tc>
              <w:tc>
                <w:tcPr>
                  <w:tcW w:w="1340" w:type="dxa"/>
                  <w:tcBorders>
                    <w:tl2br w:val="nil"/>
                    <w:tr2bl w:val="nil"/>
                  </w:tcBorders>
                  <w:shd w:val="clear" w:color="auto" w:fill="auto"/>
                  <w:vAlign w:val="center"/>
                </w:tcPr>
                <w:p>
                  <w:pPr>
                    <w:widowControl/>
                    <w:spacing w:line="240" w:lineRule="auto"/>
                    <w:ind w:firstLine="0" w:firstLineChars="0"/>
                    <w:jc w:val="center"/>
                    <w:rPr>
                      <w:rFonts w:eastAsia="宋体" w:cs="Times New Roman"/>
                      <w:kern w:val="0"/>
                      <w:sz w:val="21"/>
                      <w:szCs w:val="21"/>
                    </w:rPr>
                  </w:pPr>
                  <w:r>
                    <w:rPr>
                      <w:rFonts w:eastAsia="宋体" w:cs="Times New Roman"/>
                      <w:kern w:val="0"/>
                      <w:sz w:val="21"/>
                      <w:szCs w:val="21"/>
                    </w:rPr>
                    <w:t>/</w:t>
                  </w:r>
                </w:p>
              </w:tc>
            </w:tr>
          </w:tbl>
          <w:p>
            <w:pPr>
              <w:ind w:firstLine="480"/>
            </w:pPr>
          </w:p>
          <w:p>
            <w:pPr>
              <w:pStyle w:val="66"/>
            </w:pPr>
          </w:p>
          <w:p>
            <w:pPr>
              <w:pStyle w:val="66"/>
            </w:pPr>
          </w:p>
          <w:p>
            <w:pPr>
              <w:pStyle w:val="66"/>
            </w:pPr>
          </w:p>
          <w:p>
            <w:pPr>
              <w:pStyle w:val="66"/>
            </w:pPr>
          </w:p>
          <w:p>
            <w:pPr>
              <w:pStyle w:val="66"/>
            </w:pPr>
          </w:p>
          <w:p>
            <w:pPr>
              <w:pStyle w:val="66"/>
            </w:pPr>
          </w:p>
          <w:p>
            <w:pPr>
              <w:pStyle w:val="66"/>
            </w:pPr>
          </w:p>
          <w:p>
            <w:pPr>
              <w:pStyle w:val="66"/>
            </w:pPr>
          </w:p>
          <w:p>
            <w:pPr>
              <w:pStyle w:val="66"/>
            </w:pPr>
          </w:p>
          <w:p>
            <w:pPr>
              <w:pStyle w:val="66"/>
            </w:pPr>
          </w:p>
          <w:p>
            <w:pPr>
              <w:pStyle w:val="66"/>
            </w:pPr>
            <w:r>
              <w:rPr>
                <w:rFonts w:hint="eastAsia"/>
              </w:rPr>
              <w:t>表4-4 项目废水排放方式、去向、规律基本情况</w:t>
            </w:r>
          </w:p>
          <w:tbl>
            <w:tblPr>
              <w:tblStyle w:val="37"/>
              <w:tblW w:w="8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16"/>
              <w:gridCol w:w="1008"/>
              <w:gridCol w:w="636"/>
              <w:gridCol w:w="426"/>
              <w:gridCol w:w="858"/>
              <w:gridCol w:w="808"/>
              <w:gridCol w:w="974"/>
              <w:gridCol w:w="881"/>
              <w:gridCol w:w="67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eastAsia="宋体" w:cs="Times New Roman"/>
                      <w:kern w:val="0"/>
                      <w:sz w:val="21"/>
                      <w:szCs w:val="21"/>
                    </w:rPr>
                    <w:t>序号</w:t>
                  </w:r>
                </w:p>
              </w:tc>
              <w:tc>
                <w:tcPr>
                  <w:tcW w:w="716" w:type="dxa"/>
                  <w:vMerge w:val="restart"/>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eastAsia="宋体" w:cs="Times New Roman"/>
                      <w:kern w:val="0"/>
                      <w:sz w:val="21"/>
                      <w:szCs w:val="21"/>
                    </w:rPr>
                    <w:t>废水类别</w:t>
                  </w:r>
                </w:p>
              </w:tc>
              <w:tc>
                <w:tcPr>
                  <w:tcW w:w="1008" w:type="dxa"/>
                  <w:vMerge w:val="restart"/>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eastAsia="宋体" w:cs="Times New Roman"/>
                      <w:kern w:val="0"/>
                      <w:sz w:val="21"/>
                      <w:szCs w:val="21"/>
                    </w:rPr>
                    <w:t>污染物种类</w:t>
                  </w:r>
                </w:p>
              </w:tc>
              <w:tc>
                <w:tcPr>
                  <w:tcW w:w="636" w:type="dxa"/>
                  <w:vMerge w:val="restart"/>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eastAsia="宋体" w:cs="Times New Roman"/>
                      <w:kern w:val="0"/>
                      <w:sz w:val="21"/>
                      <w:szCs w:val="21"/>
                    </w:rPr>
                    <w:t>排放去向</w:t>
                  </w:r>
                </w:p>
              </w:tc>
              <w:tc>
                <w:tcPr>
                  <w:tcW w:w="426" w:type="dxa"/>
                  <w:vMerge w:val="restart"/>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eastAsia="宋体" w:cs="Times New Roman"/>
                      <w:kern w:val="0"/>
                      <w:sz w:val="21"/>
                      <w:szCs w:val="21"/>
                    </w:rPr>
                    <w:t>排放规律</w:t>
                  </w:r>
                </w:p>
              </w:tc>
              <w:tc>
                <w:tcPr>
                  <w:tcW w:w="2640" w:type="dxa"/>
                  <w:gridSpan w:val="3"/>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eastAsia="宋体" w:cs="Times New Roman"/>
                      <w:kern w:val="0"/>
                      <w:sz w:val="21"/>
                      <w:szCs w:val="21"/>
                    </w:rPr>
                    <w:t>污染物治理设施</w:t>
                  </w:r>
                </w:p>
              </w:tc>
              <w:tc>
                <w:tcPr>
                  <w:tcW w:w="881" w:type="dxa"/>
                  <w:vMerge w:val="restart"/>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eastAsia="宋体" w:cs="Times New Roman"/>
                      <w:kern w:val="0"/>
                      <w:sz w:val="21"/>
                      <w:szCs w:val="21"/>
                    </w:rPr>
                    <w:t>排放口编号</w:t>
                  </w:r>
                </w:p>
              </w:tc>
              <w:tc>
                <w:tcPr>
                  <w:tcW w:w="675" w:type="dxa"/>
                  <w:vMerge w:val="restart"/>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eastAsia="宋体" w:cs="Times New Roman"/>
                      <w:kern w:val="0"/>
                      <w:sz w:val="21"/>
                      <w:szCs w:val="21"/>
                    </w:rPr>
                    <w:t>排放口是否符合要求</w:t>
                  </w:r>
                </w:p>
              </w:tc>
              <w:tc>
                <w:tcPr>
                  <w:tcW w:w="1035" w:type="dxa"/>
                  <w:vMerge w:val="restart"/>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eastAsia="宋体" w:cs="Times New Roman"/>
                      <w:kern w:val="0"/>
                      <w:sz w:val="21"/>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p>
              </w:tc>
              <w:tc>
                <w:tcPr>
                  <w:tcW w:w="716" w:type="dxa"/>
                  <w:vMerge w:val="continue"/>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p>
              </w:tc>
              <w:tc>
                <w:tcPr>
                  <w:tcW w:w="1008" w:type="dxa"/>
                  <w:vMerge w:val="continue"/>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p>
              </w:tc>
              <w:tc>
                <w:tcPr>
                  <w:tcW w:w="636" w:type="dxa"/>
                  <w:vMerge w:val="continue"/>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p>
              </w:tc>
              <w:tc>
                <w:tcPr>
                  <w:tcW w:w="426" w:type="dxa"/>
                  <w:vMerge w:val="continue"/>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p>
              </w:tc>
              <w:tc>
                <w:tcPr>
                  <w:tcW w:w="858" w:type="dxa"/>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eastAsia="宋体" w:cs="Times New Roman"/>
                      <w:kern w:val="0"/>
                      <w:sz w:val="21"/>
                      <w:szCs w:val="21"/>
                    </w:rPr>
                    <w:t>污染治理设施编号</w:t>
                  </w:r>
                </w:p>
              </w:tc>
              <w:tc>
                <w:tcPr>
                  <w:tcW w:w="808" w:type="dxa"/>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eastAsia="宋体" w:cs="Times New Roman"/>
                      <w:kern w:val="0"/>
                      <w:sz w:val="21"/>
                      <w:szCs w:val="21"/>
                    </w:rPr>
                    <w:t>污染治理设施名称</w:t>
                  </w:r>
                </w:p>
              </w:tc>
              <w:tc>
                <w:tcPr>
                  <w:tcW w:w="974" w:type="dxa"/>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eastAsia="宋体" w:cs="Times New Roman"/>
                      <w:kern w:val="0"/>
                      <w:sz w:val="21"/>
                      <w:szCs w:val="21"/>
                    </w:rPr>
                    <w:t>污染治理设施工艺</w:t>
                  </w:r>
                </w:p>
              </w:tc>
              <w:tc>
                <w:tcPr>
                  <w:tcW w:w="881" w:type="dxa"/>
                  <w:vMerge w:val="continue"/>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p>
              </w:tc>
              <w:tc>
                <w:tcPr>
                  <w:tcW w:w="675" w:type="dxa"/>
                  <w:vMerge w:val="continue"/>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p>
              </w:tc>
              <w:tc>
                <w:tcPr>
                  <w:tcW w:w="1035" w:type="dxa"/>
                  <w:vMerge w:val="continue"/>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426" w:type="dxa"/>
                  <w:vMerge w:val="restart"/>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eastAsia="宋体" w:cs="Times New Roman"/>
                      <w:kern w:val="0"/>
                      <w:sz w:val="21"/>
                      <w:szCs w:val="21"/>
                    </w:rPr>
                    <w:t>1</w:t>
                  </w:r>
                  <w:r>
                    <w:rPr>
                      <w:rFonts w:hint="eastAsia" w:eastAsia="宋体" w:cs="Times New Roman"/>
                      <w:kern w:val="0"/>
                      <w:sz w:val="21"/>
                      <w:szCs w:val="21"/>
                    </w:rPr>
                    <w:t>、</w:t>
                  </w:r>
                </w:p>
              </w:tc>
              <w:tc>
                <w:tcPr>
                  <w:tcW w:w="716" w:type="dxa"/>
                  <w:vMerge w:val="restart"/>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eastAsia="宋体" w:cs="Times New Roman"/>
                      <w:kern w:val="0"/>
                      <w:sz w:val="21"/>
                      <w:szCs w:val="21"/>
                    </w:rPr>
                    <w:t>综合废水</w:t>
                  </w:r>
                </w:p>
              </w:tc>
              <w:tc>
                <w:tcPr>
                  <w:tcW w:w="1008" w:type="dxa"/>
                  <w:vMerge w:val="restart"/>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pH、</w:t>
                  </w:r>
                  <w:r>
                    <w:rPr>
                      <w:rFonts w:eastAsia="宋体" w:cs="Times New Roman"/>
                      <w:kern w:val="0"/>
                      <w:sz w:val="21"/>
                      <w:szCs w:val="21"/>
                    </w:rPr>
                    <w:t>COD</w:t>
                  </w:r>
                  <w:r>
                    <w:rPr>
                      <w:rFonts w:eastAsia="宋体" w:cs="Times New Roman"/>
                      <w:sz w:val="21"/>
                      <w:szCs w:val="21"/>
                      <w:vertAlign w:val="subscript"/>
                    </w:rPr>
                    <w:t>cr</w:t>
                  </w:r>
                  <w:r>
                    <w:rPr>
                      <w:rFonts w:eastAsia="宋体" w:cs="Times New Roman"/>
                      <w:kern w:val="0"/>
                      <w:sz w:val="21"/>
                      <w:szCs w:val="21"/>
                    </w:rPr>
                    <w:t>、BOD</w:t>
                  </w:r>
                  <w:r>
                    <w:rPr>
                      <w:rFonts w:eastAsia="宋体" w:cs="Times New Roman"/>
                      <w:kern w:val="0"/>
                      <w:sz w:val="21"/>
                      <w:szCs w:val="21"/>
                      <w:vertAlign w:val="subscript"/>
                    </w:rPr>
                    <w:t>5</w:t>
                  </w:r>
                  <w:r>
                    <w:rPr>
                      <w:rFonts w:eastAsia="宋体" w:cs="Times New Roman"/>
                      <w:kern w:val="0"/>
                      <w:sz w:val="21"/>
                      <w:szCs w:val="21"/>
                    </w:rPr>
                    <w:t>、SS、</w:t>
                  </w:r>
                  <w:r>
                    <w:rPr>
                      <w:rFonts w:eastAsia="宋体" w:cs="Times New Roman"/>
                      <w:sz w:val="21"/>
                      <w:szCs w:val="21"/>
                    </w:rPr>
                    <w:t>氨氮、粪大肠菌群数</w:t>
                  </w:r>
                  <w:r>
                    <w:rPr>
                      <w:rFonts w:eastAsia="宋体" w:cs="Times New Roman"/>
                      <w:kern w:val="0"/>
                      <w:sz w:val="21"/>
                      <w:szCs w:val="21"/>
                    </w:rPr>
                    <w:t>、</w:t>
                  </w:r>
                  <w:r>
                    <w:rPr>
                      <w:rFonts w:eastAsia="宋体" w:cs="Times New Roman"/>
                      <w:sz w:val="21"/>
                      <w:szCs w:val="21"/>
                    </w:rPr>
                    <w:t>阴离子表面活性剂</w:t>
                  </w:r>
                  <w:r>
                    <w:rPr>
                      <w:rFonts w:hint="eastAsia" w:eastAsia="宋体" w:cs="Times New Roman"/>
                      <w:sz w:val="21"/>
                      <w:szCs w:val="21"/>
                    </w:rPr>
                    <w:t>、总余氯等</w:t>
                  </w:r>
                </w:p>
              </w:tc>
              <w:tc>
                <w:tcPr>
                  <w:tcW w:w="636" w:type="dxa"/>
                  <w:vMerge w:val="restart"/>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蜻蛉河</w:t>
                  </w:r>
                </w:p>
              </w:tc>
              <w:tc>
                <w:tcPr>
                  <w:tcW w:w="426" w:type="dxa"/>
                  <w:vMerge w:val="restart"/>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间歇排放</w:t>
                  </w:r>
                </w:p>
              </w:tc>
              <w:tc>
                <w:tcPr>
                  <w:tcW w:w="858" w:type="dxa"/>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TW001</w:t>
                  </w:r>
                </w:p>
              </w:tc>
              <w:tc>
                <w:tcPr>
                  <w:tcW w:w="808" w:type="dxa"/>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化粪池</w:t>
                  </w:r>
                </w:p>
              </w:tc>
              <w:tc>
                <w:tcPr>
                  <w:tcW w:w="974" w:type="dxa"/>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沉淀</w:t>
                  </w:r>
                </w:p>
              </w:tc>
              <w:tc>
                <w:tcPr>
                  <w:tcW w:w="881" w:type="dxa"/>
                  <w:vMerge w:val="restart"/>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DW001</w:t>
                  </w:r>
                </w:p>
              </w:tc>
              <w:tc>
                <w:tcPr>
                  <w:tcW w:w="675" w:type="dxa"/>
                  <w:vMerge w:val="restart"/>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eastAsia="宋体" w:cs="Times New Roman"/>
                      <w:kern w:val="0"/>
                      <w:sz w:val="21"/>
                      <w:szCs w:val="21"/>
                    </w:rPr>
                    <w:sym w:font="Wingdings" w:char="00FE"/>
                  </w:r>
                  <w:r>
                    <w:rPr>
                      <w:rFonts w:eastAsia="宋体" w:cs="Times New Roman"/>
                      <w:kern w:val="0"/>
                      <w:sz w:val="21"/>
                      <w:szCs w:val="21"/>
                    </w:rPr>
                    <w:t xml:space="preserve"> 是</w:t>
                  </w:r>
                </w:p>
                <w:p>
                  <w:pPr>
                    <w:autoSpaceDE w:val="0"/>
                    <w:autoSpaceDN w:val="0"/>
                    <w:adjustRightInd w:val="0"/>
                    <w:snapToGrid w:val="0"/>
                    <w:spacing w:line="240" w:lineRule="auto"/>
                    <w:ind w:firstLine="0" w:firstLineChars="0"/>
                    <w:jc w:val="center"/>
                    <w:rPr>
                      <w:rFonts w:eastAsia="宋体" w:cs="Times New Roman"/>
                      <w:kern w:val="0"/>
                      <w:sz w:val="21"/>
                      <w:szCs w:val="21"/>
                    </w:rPr>
                  </w:pPr>
                  <w:r>
                    <w:rPr>
                      <w:rFonts w:eastAsia="宋体" w:cs="Times New Roman"/>
                      <w:kern w:val="0"/>
                      <w:sz w:val="21"/>
                      <w:szCs w:val="21"/>
                    </w:rPr>
                    <w:sym w:font="Wingdings" w:char="00A8"/>
                  </w:r>
                  <w:r>
                    <w:rPr>
                      <w:rFonts w:eastAsia="宋体" w:cs="Times New Roman"/>
                      <w:kern w:val="0"/>
                      <w:sz w:val="21"/>
                      <w:szCs w:val="21"/>
                    </w:rPr>
                    <w:t xml:space="preserve"> 否</w:t>
                  </w:r>
                </w:p>
              </w:tc>
              <w:tc>
                <w:tcPr>
                  <w:tcW w:w="1035" w:type="dxa"/>
                  <w:vMerge w:val="restart"/>
                  <w:vAlign w:val="center"/>
                </w:tcPr>
                <w:p>
                  <w:pPr>
                    <w:pStyle w:val="146"/>
                  </w:pPr>
                  <w:r>
                    <w:rPr/>
                    <w:sym w:font="Wingdings" w:char="00FE"/>
                  </w:r>
                  <w:r>
                    <w:t xml:space="preserve"> 企业总排</w:t>
                  </w:r>
                  <w:r>
                    <w:rPr>
                      <w:rFonts w:hint="eastAsia"/>
                    </w:rPr>
                    <w:t>口</w:t>
                  </w:r>
                </w:p>
                <w:p>
                  <w:pPr>
                    <w:autoSpaceDE w:val="0"/>
                    <w:autoSpaceDN w:val="0"/>
                    <w:adjustRightInd w:val="0"/>
                    <w:snapToGrid w:val="0"/>
                    <w:spacing w:line="240" w:lineRule="auto"/>
                    <w:ind w:firstLine="0" w:firstLineChars="0"/>
                    <w:rPr>
                      <w:rFonts w:eastAsia="宋体" w:cs="Times New Roman"/>
                      <w:kern w:val="0"/>
                      <w:sz w:val="21"/>
                      <w:szCs w:val="21"/>
                    </w:rPr>
                  </w:pPr>
                  <w:r>
                    <w:rPr>
                      <w:rFonts w:eastAsia="宋体" w:cs="Times New Roman"/>
                      <w:kern w:val="0"/>
                      <w:sz w:val="21"/>
                      <w:szCs w:val="21"/>
                    </w:rPr>
                    <w:sym w:font="Wingdings" w:char="00A8"/>
                  </w:r>
                  <w:r>
                    <w:rPr>
                      <w:rFonts w:eastAsia="宋体" w:cs="Times New Roman"/>
                      <w:kern w:val="0"/>
                      <w:sz w:val="21"/>
                      <w:szCs w:val="21"/>
                    </w:rPr>
                    <w:t xml:space="preserve"> 雨水排放</w:t>
                  </w:r>
                  <w:r>
                    <w:rPr>
                      <w:rFonts w:hint="eastAsia" w:eastAsia="宋体" w:cs="Times New Roman"/>
                      <w:kern w:val="0"/>
                      <w:sz w:val="21"/>
                      <w:szCs w:val="21"/>
                    </w:rPr>
                    <w:t>口</w:t>
                  </w:r>
                </w:p>
                <w:p>
                  <w:pPr>
                    <w:pStyle w:val="146"/>
                  </w:pPr>
                  <w:r>
                    <w:rPr/>
                    <w:sym w:font="Wingdings" w:char="00A8"/>
                  </w:r>
                  <w:r>
                    <w:t xml:space="preserve"> 清净下水排放</w:t>
                  </w:r>
                  <w:r>
                    <w:rPr>
                      <w:rFonts w:hint="eastAsia"/>
                    </w:rPr>
                    <w:t>口</w:t>
                  </w:r>
                </w:p>
                <w:p>
                  <w:pPr>
                    <w:autoSpaceDE w:val="0"/>
                    <w:autoSpaceDN w:val="0"/>
                    <w:adjustRightInd w:val="0"/>
                    <w:snapToGrid w:val="0"/>
                    <w:spacing w:line="240" w:lineRule="auto"/>
                    <w:ind w:firstLine="0" w:firstLineChars="0"/>
                    <w:rPr>
                      <w:rFonts w:eastAsia="宋体" w:cs="Times New Roman"/>
                      <w:kern w:val="0"/>
                      <w:sz w:val="21"/>
                      <w:szCs w:val="21"/>
                    </w:rPr>
                  </w:pPr>
                  <w:r>
                    <w:rPr>
                      <w:rFonts w:eastAsia="宋体" w:cs="Times New Roman"/>
                      <w:kern w:val="0"/>
                      <w:sz w:val="21"/>
                      <w:szCs w:val="21"/>
                    </w:rPr>
                    <w:sym w:font="Wingdings" w:char="00A8"/>
                  </w:r>
                  <w:r>
                    <w:rPr>
                      <w:rFonts w:eastAsia="宋体" w:cs="Times New Roman"/>
                      <w:kern w:val="0"/>
                      <w:sz w:val="21"/>
                      <w:szCs w:val="21"/>
                    </w:rPr>
                    <w:t xml:space="preserve"> 温排水排放</w:t>
                  </w:r>
                  <w:r>
                    <w:rPr>
                      <w:rFonts w:hint="eastAsia" w:eastAsia="宋体" w:cs="Times New Roman"/>
                      <w:kern w:val="0"/>
                      <w:sz w:val="21"/>
                      <w:szCs w:val="21"/>
                    </w:rPr>
                    <w:t>口</w:t>
                  </w:r>
                </w:p>
                <w:p>
                  <w:pPr>
                    <w:autoSpaceDE w:val="0"/>
                    <w:autoSpaceDN w:val="0"/>
                    <w:adjustRightInd w:val="0"/>
                    <w:snapToGrid w:val="0"/>
                    <w:spacing w:line="240" w:lineRule="auto"/>
                    <w:ind w:firstLine="0" w:firstLineChars="0"/>
                    <w:rPr>
                      <w:rFonts w:eastAsia="宋体" w:cs="Times New Roman"/>
                      <w:kern w:val="0"/>
                      <w:sz w:val="21"/>
                      <w:szCs w:val="21"/>
                    </w:rPr>
                  </w:pPr>
                  <w:r>
                    <w:rPr>
                      <w:rFonts w:eastAsia="宋体" w:cs="Times New Roman"/>
                      <w:kern w:val="0"/>
                      <w:sz w:val="21"/>
                      <w:szCs w:val="21"/>
                    </w:rPr>
                    <w:sym w:font="Wingdings" w:char="00A8"/>
                  </w:r>
                  <w:r>
                    <w:rPr>
                      <w:rFonts w:eastAsia="宋体" w:cs="Times New Roman"/>
                      <w:kern w:val="0"/>
                      <w:sz w:val="21"/>
                      <w:szCs w:val="21"/>
                    </w:rPr>
                    <w:t xml:space="preserve"> 车间或车间处理设施排放口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p>
              </w:tc>
              <w:tc>
                <w:tcPr>
                  <w:tcW w:w="716" w:type="dxa"/>
                  <w:vMerge w:val="continue"/>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p>
              </w:tc>
              <w:tc>
                <w:tcPr>
                  <w:tcW w:w="1008" w:type="dxa"/>
                  <w:vMerge w:val="continue"/>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p>
              </w:tc>
              <w:tc>
                <w:tcPr>
                  <w:tcW w:w="636" w:type="dxa"/>
                  <w:vMerge w:val="continue"/>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p>
              </w:tc>
              <w:tc>
                <w:tcPr>
                  <w:tcW w:w="426" w:type="dxa"/>
                  <w:vMerge w:val="continue"/>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p>
              </w:tc>
              <w:tc>
                <w:tcPr>
                  <w:tcW w:w="858" w:type="dxa"/>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TW002</w:t>
                  </w:r>
                </w:p>
              </w:tc>
              <w:tc>
                <w:tcPr>
                  <w:tcW w:w="808" w:type="dxa"/>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一体化污水处理站</w:t>
                  </w:r>
                </w:p>
              </w:tc>
              <w:tc>
                <w:tcPr>
                  <w:tcW w:w="974" w:type="dxa"/>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“二级处理工艺”（调节池→生物氧化→接触消毒）</w:t>
                  </w:r>
                </w:p>
              </w:tc>
              <w:tc>
                <w:tcPr>
                  <w:tcW w:w="881" w:type="dxa"/>
                  <w:vMerge w:val="continue"/>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p>
              </w:tc>
              <w:tc>
                <w:tcPr>
                  <w:tcW w:w="675" w:type="dxa"/>
                  <w:vMerge w:val="continue"/>
                  <w:vAlign w:val="center"/>
                </w:tcPr>
                <w:p>
                  <w:pPr>
                    <w:autoSpaceDE w:val="0"/>
                    <w:autoSpaceDN w:val="0"/>
                    <w:adjustRightInd w:val="0"/>
                    <w:snapToGrid w:val="0"/>
                    <w:spacing w:line="240" w:lineRule="auto"/>
                    <w:ind w:firstLine="0" w:firstLineChars="0"/>
                    <w:jc w:val="center"/>
                    <w:rPr>
                      <w:rFonts w:eastAsia="宋体" w:cs="Times New Roman"/>
                      <w:kern w:val="0"/>
                      <w:sz w:val="21"/>
                      <w:szCs w:val="21"/>
                    </w:rPr>
                  </w:pPr>
                </w:p>
              </w:tc>
              <w:tc>
                <w:tcPr>
                  <w:tcW w:w="1035" w:type="dxa"/>
                  <w:vMerge w:val="continue"/>
                  <w:vAlign w:val="center"/>
                </w:tcPr>
                <w:p>
                  <w:pPr>
                    <w:autoSpaceDE w:val="0"/>
                    <w:autoSpaceDN w:val="0"/>
                    <w:adjustRightInd w:val="0"/>
                    <w:snapToGrid w:val="0"/>
                    <w:spacing w:line="240" w:lineRule="auto"/>
                    <w:ind w:firstLine="0" w:firstLineChars="0"/>
                    <w:rPr>
                      <w:rFonts w:eastAsia="宋体" w:cs="Times New Roman"/>
                      <w:kern w:val="0"/>
                      <w:sz w:val="21"/>
                      <w:szCs w:val="21"/>
                    </w:rPr>
                  </w:pPr>
                </w:p>
              </w:tc>
            </w:tr>
          </w:tbl>
          <w:p>
            <w:pPr>
              <w:autoSpaceDE w:val="0"/>
              <w:autoSpaceDN w:val="0"/>
              <w:adjustRightInd w:val="0"/>
              <w:ind w:firstLine="482"/>
              <w:jc w:val="center"/>
              <w:rPr>
                <w:rFonts w:eastAsia="宋体" w:cs="Times New Roman"/>
                <w:b/>
                <w:bCs/>
                <w:szCs w:val="24"/>
              </w:rPr>
            </w:pPr>
          </w:p>
          <w:p>
            <w:pPr>
              <w:pStyle w:val="66"/>
            </w:pPr>
          </w:p>
          <w:p>
            <w:pPr>
              <w:pStyle w:val="66"/>
            </w:pPr>
          </w:p>
          <w:p>
            <w:pPr>
              <w:pStyle w:val="66"/>
            </w:pPr>
          </w:p>
          <w:p>
            <w:pPr>
              <w:pStyle w:val="66"/>
            </w:pPr>
          </w:p>
          <w:p>
            <w:pPr>
              <w:pStyle w:val="66"/>
            </w:pPr>
          </w:p>
          <w:p>
            <w:pPr>
              <w:pStyle w:val="66"/>
            </w:pPr>
          </w:p>
          <w:p>
            <w:pPr>
              <w:pStyle w:val="66"/>
            </w:pPr>
          </w:p>
          <w:p>
            <w:pPr>
              <w:pStyle w:val="66"/>
            </w:pPr>
          </w:p>
          <w:p>
            <w:pPr>
              <w:pStyle w:val="66"/>
            </w:pPr>
          </w:p>
          <w:p>
            <w:pPr>
              <w:pStyle w:val="66"/>
            </w:pPr>
          </w:p>
          <w:p>
            <w:pPr>
              <w:pStyle w:val="66"/>
            </w:pPr>
          </w:p>
          <w:p>
            <w:pPr>
              <w:pStyle w:val="66"/>
            </w:pPr>
          </w:p>
          <w:p>
            <w:pPr>
              <w:pStyle w:val="66"/>
            </w:pPr>
          </w:p>
          <w:p>
            <w:pPr>
              <w:pStyle w:val="66"/>
            </w:pPr>
          </w:p>
          <w:p>
            <w:pPr>
              <w:pStyle w:val="66"/>
            </w:pPr>
          </w:p>
          <w:p>
            <w:pPr>
              <w:pStyle w:val="66"/>
            </w:pPr>
          </w:p>
          <w:p>
            <w:pPr>
              <w:pStyle w:val="66"/>
            </w:pPr>
          </w:p>
          <w:p>
            <w:pPr>
              <w:pStyle w:val="66"/>
            </w:pPr>
          </w:p>
          <w:p>
            <w:pPr>
              <w:pStyle w:val="66"/>
            </w:pPr>
          </w:p>
          <w:p>
            <w:pPr>
              <w:pStyle w:val="66"/>
            </w:pPr>
            <w:r>
              <w:rPr>
                <w:rFonts w:hint="eastAsia"/>
              </w:rPr>
              <w:t>表4-5 项目废水排放基本情况表（污水管网建成前）</w:t>
            </w:r>
          </w:p>
          <w:tbl>
            <w:tblPr>
              <w:tblStyle w:val="37"/>
              <w:tblW w:w="8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81"/>
              <w:gridCol w:w="899"/>
              <w:gridCol w:w="1058"/>
              <w:gridCol w:w="794"/>
              <w:gridCol w:w="778"/>
              <w:gridCol w:w="636"/>
              <w:gridCol w:w="426"/>
              <w:gridCol w:w="426"/>
              <w:gridCol w:w="899"/>
              <w:gridCol w:w="79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pPr>
                    <w:pStyle w:val="52"/>
                  </w:pPr>
                  <w:r>
                    <w:rPr>
                      <w:rFonts w:hint="eastAsia"/>
                    </w:rPr>
                    <w:t>序号</w:t>
                  </w:r>
                </w:p>
              </w:tc>
              <w:tc>
                <w:tcPr>
                  <w:tcW w:w="881" w:type="dxa"/>
                  <w:vMerge w:val="restart"/>
                  <w:vAlign w:val="center"/>
                </w:tcPr>
                <w:p>
                  <w:pPr>
                    <w:pStyle w:val="52"/>
                  </w:pPr>
                  <w:r>
                    <w:rPr>
                      <w:rFonts w:hint="eastAsia"/>
                    </w:rPr>
                    <w:t>排放口编号</w:t>
                  </w:r>
                </w:p>
              </w:tc>
              <w:tc>
                <w:tcPr>
                  <w:tcW w:w="1957" w:type="dxa"/>
                  <w:gridSpan w:val="2"/>
                  <w:vAlign w:val="center"/>
                </w:tcPr>
                <w:p>
                  <w:pPr>
                    <w:pStyle w:val="52"/>
                  </w:pPr>
                  <w:r>
                    <w:rPr>
                      <w:rFonts w:hint="eastAsia"/>
                    </w:rPr>
                    <w:t>排放口地理坐标</w:t>
                  </w:r>
                </w:p>
              </w:tc>
              <w:tc>
                <w:tcPr>
                  <w:tcW w:w="794" w:type="dxa"/>
                  <w:vMerge w:val="restart"/>
                  <w:vAlign w:val="center"/>
                </w:tcPr>
                <w:p>
                  <w:pPr>
                    <w:pStyle w:val="52"/>
                  </w:pPr>
                  <w:r>
                    <w:rPr>
                      <w:rFonts w:hint="eastAsia"/>
                    </w:rPr>
                    <w:t>废水排放量（万t/a）</w:t>
                  </w:r>
                </w:p>
              </w:tc>
              <w:tc>
                <w:tcPr>
                  <w:tcW w:w="778" w:type="dxa"/>
                  <w:vMerge w:val="restart"/>
                  <w:vAlign w:val="center"/>
                </w:tcPr>
                <w:p>
                  <w:pPr>
                    <w:pStyle w:val="52"/>
                  </w:pPr>
                  <w:r>
                    <w:rPr>
                      <w:rFonts w:hint="eastAsia"/>
                    </w:rPr>
                    <w:t>排放去向</w:t>
                  </w:r>
                </w:p>
              </w:tc>
              <w:tc>
                <w:tcPr>
                  <w:tcW w:w="636" w:type="dxa"/>
                  <w:vMerge w:val="restart"/>
                  <w:vAlign w:val="center"/>
                </w:tcPr>
                <w:p>
                  <w:pPr>
                    <w:pStyle w:val="52"/>
                  </w:pPr>
                  <w:r>
                    <w:rPr>
                      <w:rFonts w:hint="eastAsia"/>
                    </w:rPr>
                    <w:t>排放规律</w:t>
                  </w:r>
                </w:p>
              </w:tc>
              <w:tc>
                <w:tcPr>
                  <w:tcW w:w="852" w:type="dxa"/>
                  <w:gridSpan w:val="2"/>
                  <w:vAlign w:val="center"/>
                </w:tcPr>
                <w:p>
                  <w:pPr>
                    <w:pStyle w:val="52"/>
                  </w:pPr>
                  <w:r>
                    <w:rPr>
                      <w:rFonts w:hint="eastAsia"/>
                    </w:rPr>
                    <w:t>受纳自然水体信息</w:t>
                  </w:r>
                </w:p>
              </w:tc>
              <w:tc>
                <w:tcPr>
                  <w:tcW w:w="1693" w:type="dxa"/>
                  <w:gridSpan w:val="2"/>
                  <w:vAlign w:val="center"/>
                </w:tcPr>
                <w:p>
                  <w:pPr>
                    <w:pStyle w:val="52"/>
                  </w:pPr>
                  <w:r>
                    <w:rPr>
                      <w:rFonts w:hint="eastAsia"/>
                    </w:rPr>
                    <w:t>汇入受纳自然水体处地理坐标</w:t>
                  </w:r>
                </w:p>
              </w:tc>
              <w:tc>
                <w:tcPr>
                  <w:tcW w:w="426" w:type="dxa"/>
                  <w:vMerge w:val="restart"/>
                  <w:vAlign w:val="center"/>
                </w:tcPr>
                <w:p>
                  <w:pPr>
                    <w:pStyle w:val="52"/>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pStyle w:val="52"/>
                  </w:pPr>
                </w:p>
              </w:tc>
              <w:tc>
                <w:tcPr>
                  <w:tcW w:w="881" w:type="dxa"/>
                  <w:vMerge w:val="continue"/>
                  <w:vAlign w:val="center"/>
                </w:tcPr>
                <w:p>
                  <w:pPr>
                    <w:pStyle w:val="52"/>
                  </w:pPr>
                </w:p>
              </w:tc>
              <w:tc>
                <w:tcPr>
                  <w:tcW w:w="899" w:type="dxa"/>
                  <w:vAlign w:val="center"/>
                </w:tcPr>
                <w:p>
                  <w:pPr>
                    <w:pStyle w:val="52"/>
                  </w:pPr>
                  <w:r>
                    <w:rPr>
                      <w:rFonts w:hint="eastAsia"/>
                    </w:rPr>
                    <w:t>经度</w:t>
                  </w:r>
                </w:p>
              </w:tc>
              <w:tc>
                <w:tcPr>
                  <w:tcW w:w="1058" w:type="dxa"/>
                  <w:vAlign w:val="center"/>
                </w:tcPr>
                <w:p>
                  <w:pPr>
                    <w:pStyle w:val="52"/>
                  </w:pPr>
                  <w:r>
                    <w:rPr>
                      <w:rFonts w:hint="eastAsia"/>
                    </w:rPr>
                    <w:t>纬度</w:t>
                  </w:r>
                </w:p>
              </w:tc>
              <w:tc>
                <w:tcPr>
                  <w:tcW w:w="794" w:type="dxa"/>
                  <w:vMerge w:val="continue"/>
                  <w:vAlign w:val="center"/>
                </w:tcPr>
                <w:p>
                  <w:pPr>
                    <w:pStyle w:val="52"/>
                  </w:pPr>
                </w:p>
              </w:tc>
              <w:tc>
                <w:tcPr>
                  <w:tcW w:w="778" w:type="dxa"/>
                  <w:vMerge w:val="continue"/>
                  <w:vAlign w:val="center"/>
                </w:tcPr>
                <w:p>
                  <w:pPr>
                    <w:pStyle w:val="52"/>
                  </w:pPr>
                </w:p>
              </w:tc>
              <w:tc>
                <w:tcPr>
                  <w:tcW w:w="636" w:type="dxa"/>
                  <w:vMerge w:val="continue"/>
                  <w:vAlign w:val="center"/>
                </w:tcPr>
                <w:p>
                  <w:pPr>
                    <w:pStyle w:val="52"/>
                  </w:pPr>
                </w:p>
              </w:tc>
              <w:tc>
                <w:tcPr>
                  <w:tcW w:w="426" w:type="dxa"/>
                  <w:vAlign w:val="center"/>
                </w:tcPr>
                <w:p>
                  <w:pPr>
                    <w:pStyle w:val="52"/>
                  </w:pPr>
                  <w:r>
                    <w:rPr>
                      <w:rFonts w:hint="eastAsia"/>
                    </w:rPr>
                    <w:t>名称</w:t>
                  </w:r>
                </w:p>
              </w:tc>
              <w:tc>
                <w:tcPr>
                  <w:tcW w:w="426" w:type="dxa"/>
                  <w:vAlign w:val="center"/>
                </w:tcPr>
                <w:p>
                  <w:pPr>
                    <w:pStyle w:val="52"/>
                  </w:pPr>
                  <w:r>
                    <w:rPr>
                      <w:rFonts w:hint="eastAsia"/>
                    </w:rPr>
                    <w:t>受纳水体功能目标</w:t>
                  </w:r>
                </w:p>
              </w:tc>
              <w:tc>
                <w:tcPr>
                  <w:tcW w:w="899" w:type="dxa"/>
                  <w:vAlign w:val="center"/>
                </w:tcPr>
                <w:p>
                  <w:pPr>
                    <w:pStyle w:val="52"/>
                  </w:pPr>
                  <w:r>
                    <w:rPr>
                      <w:rFonts w:hint="eastAsia"/>
                    </w:rPr>
                    <w:t>经度</w:t>
                  </w:r>
                </w:p>
              </w:tc>
              <w:tc>
                <w:tcPr>
                  <w:tcW w:w="794" w:type="dxa"/>
                  <w:vAlign w:val="center"/>
                </w:tcPr>
                <w:p>
                  <w:pPr>
                    <w:pStyle w:val="52"/>
                  </w:pPr>
                  <w:r>
                    <w:rPr>
                      <w:rFonts w:hint="eastAsia"/>
                    </w:rPr>
                    <w:t>纬度</w:t>
                  </w:r>
                </w:p>
              </w:tc>
              <w:tc>
                <w:tcPr>
                  <w:tcW w:w="426" w:type="dxa"/>
                  <w:vMerge w:val="continue"/>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pStyle w:val="52"/>
                  </w:pPr>
                  <w:r>
                    <w:rPr>
                      <w:rFonts w:hint="eastAsia"/>
                    </w:rPr>
                    <w:t>1</w:t>
                  </w:r>
                </w:p>
              </w:tc>
              <w:tc>
                <w:tcPr>
                  <w:tcW w:w="881" w:type="dxa"/>
                  <w:vAlign w:val="center"/>
                </w:tcPr>
                <w:p>
                  <w:pPr>
                    <w:pStyle w:val="52"/>
                  </w:pPr>
                  <w:r>
                    <w:rPr>
                      <w:rFonts w:hint="eastAsia"/>
                    </w:rPr>
                    <w:t>DW001</w:t>
                  </w:r>
                </w:p>
              </w:tc>
              <w:tc>
                <w:tcPr>
                  <w:tcW w:w="899" w:type="dxa"/>
                  <w:vAlign w:val="center"/>
                </w:tcPr>
                <w:p>
                  <w:pPr>
                    <w:pStyle w:val="52"/>
                    <w:rPr>
                      <w:highlight w:val="yellow"/>
                    </w:rPr>
                  </w:pPr>
                  <w:r>
                    <w:rPr>
                      <w:rFonts w:hint="eastAsia"/>
                    </w:rPr>
                    <w:t>101°13′34.50″</w:t>
                  </w:r>
                </w:p>
              </w:tc>
              <w:tc>
                <w:tcPr>
                  <w:tcW w:w="1058" w:type="dxa"/>
                  <w:vAlign w:val="center"/>
                </w:tcPr>
                <w:p>
                  <w:pPr>
                    <w:pStyle w:val="52"/>
                    <w:rPr>
                      <w:highlight w:val="yellow"/>
                    </w:rPr>
                  </w:pPr>
                  <w:r>
                    <w:rPr>
                      <w:rFonts w:hint="eastAsia"/>
                    </w:rPr>
                    <w:t>25°31′51.18″</w:t>
                  </w:r>
                </w:p>
              </w:tc>
              <w:tc>
                <w:tcPr>
                  <w:tcW w:w="794" w:type="dxa"/>
                  <w:vAlign w:val="center"/>
                </w:tcPr>
                <w:p>
                  <w:pPr>
                    <w:pStyle w:val="52"/>
                  </w:pPr>
                  <w:r>
                    <w:rPr>
                      <w:rFonts w:hint="eastAsia"/>
                    </w:rPr>
                    <w:t>0.4241</w:t>
                  </w:r>
                </w:p>
              </w:tc>
              <w:tc>
                <w:tcPr>
                  <w:tcW w:w="778" w:type="dxa"/>
                  <w:vAlign w:val="center"/>
                </w:tcPr>
                <w:p>
                  <w:pPr>
                    <w:pStyle w:val="52"/>
                  </w:pPr>
                  <w:r>
                    <w:rPr>
                      <w:rFonts w:hint="eastAsia"/>
                    </w:rPr>
                    <w:t>进入海域、江、河、湖库等水体</w:t>
                  </w:r>
                </w:p>
              </w:tc>
              <w:tc>
                <w:tcPr>
                  <w:tcW w:w="636" w:type="dxa"/>
                  <w:vAlign w:val="center"/>
                </w:tcPr>
                <w:p>
                  <w:pPr>
                    <w:pStyle w:val="52"/>
                  </w:pPr>
                  <w:r>
                    <w:rPr>
                      <w:rFonts w:hint="eastAsia"/>
                    </w:rPr>
                    <w:t>间断排放、排放期</w:t>
                  </w:r>
                </w:p>
                <w:p>
                  <w:pPr>
                    <w:pStyle w:val="52"/>
                  </w:pPr>
                  <w:r>
                    <w:rPr>
                      <w:rFonts w:hint="eastAsia"/>
                    </w:rPr>
                    <w:t>流量不稳定且无</w:t>
                  </w:r>
                </w:p>
                <w:p>
                  <w:pPr>
                    <w:pStyle w:val="52"/>
                  </w:pPr>
                  <w:r>
                    <w:rPr>
                      <w:rFonts w:hint="eastAsia"/>
                    </w:rPr>
                    <w:t>规律、但不属于冲</w:t>
                  </w:r>
                </w:p>
                <w:p>
                  <w:pPr>
                    <w:pStyle w:val="52"/>
                  </w:pPr>
                  <w:r>
                    <w:rPr>
                      <w:rFonts w:hint="eastAsia"/>
                    </w:rPr>
                    <w:t>击型排放</w:t>
                  </w:r>
                </w:p>
              </w:tc>
              <w:tc>
                <w:tcPr>
                  <w:tcW w:w="426" w:type="dxa"/>
                  <w:vAlign w:val="center"/>
                </w:tcPr>
                <w:p>
                  <w:pPr>
                    <w:pStyle w:val="52"/>
                  </w:pPr>
                  <w:r>
                    <w:rPr>
                      <w:rFonts w:hint="eastAsia"/>
                    </w:rPr>
                    <w:t>蜻岭河</w:t>
                  </w:r>
                </w:p>
              </w:tc>
              <w:tc>
                <w:tcPr>
                  <w:tcW w:w="426" w:type="dxa"/>
                  <w:vAlign w:val="center"/>
                </w:tcPr>
                <w:p>
                  <w:pPr>
                    <w:pStyle w:val="52"/>
                  </w:pPr>
                  <w:r>
                    <w:rPr>
                      <w:rFonts w:hint="eastAsia" w:ascii="宋体" w:hAnsi="宋体"/>
                    </w:rPr>
                    <w:t>Ⅳ</w:t>
                  </w:r>
                </w:p>
              </w:tc>
              <w:tc>
                <w:tcPr>
                  <w:tcW w:w="899" w:type="dxa"/>
                  <w:vAlign w:val="center"/>
                </w:tcPr>
                <w:p>
                  <w:pPr>
                    <w:pStyle w:val="52"/>
                  </w:pPr>
                  <w:r>
                    <w:rPr>
                      <w:rFonts w:hint="eastAsia"/>
                    </w:rPr>
                    <w:t>101°15′1.64″</w:t>
                  </w:r>
                </w:p>
              </w:tc>
              <w:tc>
                <w:tcPr>
                  <w:tcW w:w="794" w:type="dxa"/>
                  <w:vAlign w:val="center"/>
                </w:tcPr>
                <w:p>
                  <w:pPr>
                    <w:pStyle w:val="52"/>
                  </w:pPr>
                  <w:r>
                    <w:rPr>
                      <w:rFonts w:hint="eastAsia"/>
                    </w:rPr>
                    <w:t>25°32′48.51″</w:t>
                  </w:r>
                </w:p>
              </w:tc>
              <w:tc>
                <w:tcPr>
                  <w:tcW w:w="426" w:type="dxa"/>
                  <w:vAlign w:val="center"/>
                </w:tcPr>
                <w:p>
                  <w:pPr>
                    <w:pStyle w:val="52"/>
                  </w:pPr>
                  <w:r>
                    <w:rPr>
                      <w:rFonts w:hint="eastAsia"/>
                    </w:rPr>
                    <w:t>/</w:t>
                  </w:r>
                </w:p>
              </w:tc>
            </w:tr>
          </w:tbl>
          <w:p>
            <w:pPr>
              <w:ind w:left="480" w:firstLine="0" w:firstLineChars="0"/>
            </w:pPr>
            <w:r>
              <w:rPr>
                <w:rFonts w:hint="eastAsia"/>
              </w:rPr>
              <w:t xml:space="preserve"> </w:t>
            </w:r>
          </w:p>
          <w:p>
            <w:pPr>
              <w:pStyle w:val="66"/>
            </w:pPr>
          </w:p>
          <w:p>
            <w:pPr>
              <w:pStyle w:val="66"/>
            </w:pPr>
          </w:p>
          <w:p>
            <w:pPr>
              <w:pStyle w:val="66"/>
            </w:pPr>
          </w:p>
          <w:p>
            <w:pPr>
              <w:pStyle w:val="66"/>
            </w:pPr>
          </w:p>
          <w:p>
            <w:pPr>
              <w:pStyle w:val="66"/>
            </w:pPr>
          </w:p>
          <w:p>
            <w:pPr>
              <w:pStyle w:val="66"/>
            </w:pPr>
          </w:p>
          <w:p>
            <w:pPr>
              <w:pStyle w:val="66"/>
            </w:pPr>
          </w:p>
          <w:p>
            <w:pPr>
              <w:pStyle w:val="66"/>
            </w:pPr>
          </w:p>
          <w:p>
            <w:pPr>
              <w:pStyle w:val="66"/>
            </w:pPr>
          </w:p>
          <w:p>
            <w:pPr>
              <w:pStyle w:val="66"/>
            </w:pPr>
          </w:p>
          <w:p>
            <w:pPr>
              <w:pStyle w:val="66"/>
            </w:pPr>
          </w:p>
          <w:p>
            <w:pPr>
              <w:pStyle w:val="66"/>
            </w:pPr>
          </w:p>
          <w:p>
            <w:pPr>
              <w:pStyle w:val="66"/>
            </w:pPr>
          </w:p>
          <w:p>
            <w:pPr>
              <w:pStyle w:val="66"/>
            </w:pPr>
          </w:p>
          <w:p>
            <w:pPr>
              <w:pStyle w:val="66"/>
            </w:pPr>
          </w:p>
          <w:p>
            <w:pPr>
              <w:pStyle w:val="66"/>
            </w:pPr>
            <w:r>
              <w:rPr>
                <w:rFonts w:hint="eastAsia"/>
              </w:rPr>
              <w:t>续表4-5 项目废水排放基本情况表（污水管网建成后）</w:t>
            </w:r>
          </w:p>
          <w:tbl>
            <w:tblPr>
              <w:tblStyle w:val="37"/>
              <w:tblW w:w="8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954"/>
              <w:gridCol w:w="986"/>
              <w:gridCol w:w="1039"/>
              <w:gridCol w:w="787"/>
              <w:gridCol w:w="529"/>
              <w:gridCol w:w="1025"/>
              <w:gridCol w:w="459"/>
              <w:gridCol w:w="831"/>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restart"/>
                  <w:vAlign w:val="center"/>
                </w:tcPr>
                <w:p>
                  <w:pPr>
                    <w:pStyle w:val="52"/>
                  </w:pPr>
                  <w:r>
                    <w:rPr>
                      <w:rFonts w:hint="eastAsia"/>
                    </w:rPr>
                    <w:t>序号</w:t>
                  </w:r>
                </w:p>
              </w:tc>
              <w:tc>
                <w:tcPr>
                  <w:tcW w:w="954" w:type="dxa"/>
                  <w:vMerge w:val="restart"/>
                  <w:vAlign w:val="center"/>
                </w:tcPr>
                <w:p>
                  <w:pPr>
                    <w:pStyle w:val="52"/>
                  </w:pPr>
                  <w:r>
                    <w:rPr>
                      <w:rFonts w:hint="eastAsia"/>
                    </w:rPr>
                    <w:t>排放口编号</w:t>
                  </w:r>
                </w:p>
              </w:tc>
              <w:tc>
                <w:tcPr>
                  <w:tcW w:w="2025" w:type="dxa"/>
                  <w:gridSpan w:val="2"/>
                  <w:vAlign w:val="center"/>
                </w:tcPr>
                <w:p>
                  <w:pPr>
                    <w:pStyle w:val="52"/>
                  </w:pPr>
                  <w:r>
                    <w:rPr>
                      <w:rFonts w:hint="eastAsia"/>
                    </w:rPr>
                    <w:t>排放口地理坐标</w:t>
                  </w:r>
                </w:p>
              </w:tc>
              <w:tc>
                <w:tcPr>
                  <w:tcW w:w="787" w:type="dxa"/>
                  <w:vMerge w:val="restart"/>
                  <w:vAlign w:val="center"/>
                </w:tcPr>
                <w:p>
                  <w:pPr>
                    <w:pStyle w:val="52"/>
                  </w:pPr>
                  <w:r>
                    <w:rPr>
                      <w:rFonts w:hint="eastAsia"/>
                    </w:rPr>
                    <w:t>废水排放量（万t/a）</w:t>
                  </w:r>
                </w:p>
              </w:tc>
              <w:tc>
                <w:tcPr>
                  <w:tcW w:w="529" w:type="dxa"/>
                  <w:vMerge w:val="restart"/>
                  <w:vAlign w:val="center"/>
                </w:tcPr>
                <w:p>
                  <w:pPr>
                    <w:pStyle w:val="52"/>
                  </w:pPr>
                  <w:r>
                    <w:rPr>
                      <w:rFonts w:hint="eastAsia"/>
                    </w:rPr>
                    <w:t>排放去向</w:t>
                  </w:r>
                </w:p>
              </w:tc>
              <w:tc>
                <w:tcPr>
                  <w:tcW w:w="1025" w:type="dxa"/>
                  <w:vMerge w:val="restart"/>
                  <w:vAlign w:val="center"/>
                </w:tcPr>
                <w:p>
                  <w:pPr>
                    <w:pStyle w:val="52"/>
                  </w:pPr>
                  <w:r>
                    <w:rPr>
                      <w:rFonts w:hint="eastAsia"/>
                    </w:rPr>
                    <w:t>排放规律</w:t>
                  </w:r>
                </w:p>
              </w:tc>
              <w:tc>
                <w:tcPr>
                  <w:tcW w:w="2664" w:type="dxa"/>
                  <w:gridSpan w:val="3"/>
                  <w:vAlign w:val="center"/>
                </w:tcPr>
                <w:p>
                  <w:pPr>
                    <w:pStyle w:val="52"/>
                  </w:pPr>
                  <w:r>
                    <w:rPr>
                      <w:rFonts w:hint="eastAsia"/>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continue"/>
                  <w:vAlign w:val="center"/>
                </w:tcPr>
                <w:p>
                  <w:pPr>
                    <w:pStyle w:val="52"/>
                  </w:pPr>
                </w:p>
              </w:tc>
              <w:tc>
                <w:tcPr>
                  <w:tcW w:w="954" w:type="dxa"/>
                  <w:vMerge w:val="continue"/>
                  <w:vAlign w:val="center"/>
                </w:tcPr>
                <w:p>
                  <w:pPr>
                    <w:pStyle w:val="52"/>
                  </w:pPr>
                </w:p>
              </w:tc>
              <w:tc>
                <w:tcPr>
                  <w:tcW w:w="986" w:type="dxa"/>
                  <w:vAlign w:val="center"/>
                </w:tcPr>
                <w:p>
                  <w:pPr>
                    <w:pStyle w:val="52"/>
                  </w:pPr>
                  <w:r>
                    <w:rPr>
                      <w:rFonts w:hint="eastAsia"/>
                    </w:rPr>
                    <w:t>经度</w:t>
                  </w:r>
                </w:p>
              </w:tc>
              <w:tc>
                <w:tcPr>
                  <w:tcW w:w="1039" w:type="dxa"/>
                  <w:vAlign w:val="center"/>
                </w:tcPr>
                <w:p>
                  <w:pPr>
                    <w:pStyle w:val="52"/>
                  </w:pPr>
                  <w:r>
                    <w:rPr>
                      <w:rFonts w:hint="eastAsia"/>
                    </w:rPr>
                    <w:t>纬度</w:t>
                  </w:r>
                </w:p>
              </w:tc>
              <w:tc>
                <w:tcPr>
                  <w:tcW w:w="787" w:type="dxa"/>
                  <w:vMerge w:val="continue"/>
                  <w:vAlign w:val="center"/>
                </w:tcPr>
                <w:p>
                  <w:pPr>
                    <w:pStyle w:val="52"/>
                  </w:pPr>
                </w:p>
              </w:tc>
              <w:tc>
                <w:tcPr>
                  <w:tcW w:w="529" w:type="dxa"/>
                  <w:vMerge w:val="continue"/>
                  <w:vAlign w:val="center"/>
                </w:tcPr>
                <w:p>
                  <w:pPr>
                    <w:pStyle w:val="52"/>
                  </w:pPr>
                </w:p>
              </w:tc>
              <w:tc>
                <w:tcPr>
                  <w:tcW w:w="1025" w:type="dxa"/>
                  <w:vMerge w:val="continue"/>
                  <w:vAlign w:val="center"/>
                </w:tcPr>
                <w:p>
                  <w:pPr>
                    <w:pStyle w:val="52"/>
                  </w:pPr>
                </w:p>
              </w:tc>
              <w:tc>
                <w:tcPr>
                  <w:tcW w:w="459" w:type="dxa"/>
                  <w:vAlign w:val="center"/>
                </w:tcPr>
                <w:p>
                  <w:pPr>
                    <w:pStyle w:val="52"/>
                  </w:pPr>
                  <w:r>
                    <w:rPr>
                      <w:rFonts w:hint="eastAsia"/>
                    </w:rPr>
                    <w:t>名称</w:t>
                  </w:r>
                </w:p>
              </w:tc>
              <w:tc>
                <w:tcPr>
                  <w:tcW w:w="831" w:type="dxa"/>
                  <w:vAlign w:val="center"/>
                </w:tcPr>
                <w:p>
                  <w:pPr>
                    <w:pStyle w:val="52"/>
                  </w:pPr>
                  <w:r>
                    <w:rPr>
                      <w:rFonts w:hint="eastAsia"/>
                    </w:rPr>
                    <w:t>污染物种类</w:t>
                  </w:r>
                </w:p>
              </w:tc>
              <w:tc>
                <w:tcPr>
                  <w:tcW w:w="1374" w:type="dxa"/>
                  <w:vAlign w:val="center"/>
                </w:tcPr>
                <w:p>
                  <w:pPr>
                    <w:pStyle w:val="52"/>
                  </w:pPr>
                  <w:r>
                    <w:rPr>
                      <w:rFonts w:hint="eastAsia"/>
                    </w:rPr>
                    <w:t>国家或地方污染物排放标准浓度限值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59" w:type="dxa"/>
                  <w:vMerge w:val="restart"/>
                  <w:vAlign w:val="center"/>
                </w:tcPr>
                <w:p>
                  <w:pPr>
                    <w:pStyle w:val="52"/>
                  </w:pPr>
                  <w:r>
                    <w:rPr>
                      <w:rFonts w:hint="eastAsia"/>
                    </w:rPr>
                    <w:t>1</w:t>
                  </w:r>
                </w:p>
              </w:tc>
              <w:tc>
                <w:tcPr>
                  <w:tcW w:w="954" w:type="dxa"/>
                  <w:vMerge w:val="restart"/>
                  <w:vAlign w:val="center"/>
                </w:tcPr>
                <w:p>
                  <w:pPr>
                    <w:pStyle w:val="52"/>
                  </w:pPr>
                  <w:r>
                    <w:rPr>
                      <w:rFonts w:hint="eastAsia"/>
                    </w:rPr>
                    <w:t>DW001</w:t>
                  </w:r>
                </w:p>
              </w:tc>
              <w:tc>
                <w:tcPr>
                  <w:tcW w:w="986" w:type="dxa"/>
                  <w:vMerge w:val="restart"/>
                  <w:vAlign w:val="center"/>
                </w:tcPr>
                <w:p>
                  <w:pPr>
                    <w:pStyle w:val="52"/>
                    <w:rPr>
                      <w:highlight w:val="yellow"/>
                    </w:rPr>
                  </w:pPr>
                  <w:r>
                    <w:rPr>
                      <w:rFonts w:hint="eastAsia"/>
                    </w:rPr>
                    <w:t>101°13′34.50″</w:t>
                  </w:r>
                </w:p>
              </w:tc>
              <w:tc>
                <w:tcPr>
                  <w:tcW w:w="1039" w:type="dxa"/>
                  <w:vMerge w:val="restart"/>
                  <w:vAlign w:val="center"/>
                </w:tcPr>
                <w:p>
                  <w:pPr>
                    <w:pStyle w:val="52"/>
                    <w:rPr>
                      <w:highlight w:val="yellow"/>
                    </w:rPr>
                  </w:pPr>
                  <w:r>
                    <w:rPr>
                      <w:rFonts w:hint="eastAsia"/>
                    </w:rPr>
                    <w:t>25°31′51.18″</w:t>
                  </w:r>
                </w:p>
              </w:tc>
              <w:tc>
                <w:tcPr>
                  <w:tcW w:w="787" w:type="dxa"/>
                  <w:vMerge w:val="restart"/>
                  <w:vAlign w:val="center"/>
                </w:tcPr>
                <w:p>
                  <w:pPr>
                    <w:pStyle w:val="52"/>
                  </w:pPr>
                  <w:r>
                    <w:rPr>
                      <w:rFonts w:hint="eastAsia"/>
                    </w:rPr>
                    <w:t>0.4241</w:t>
                  </w:r>
                </w:p>
              </w:tc>
              <w:tc>
                <w:tcPr>
                  <w:tcW w:w="529" w:type="dxa"/>
                  <w:vMerge w:val="restart"/>
                  <w:vAlign w:val="center"/>
                </w:tcPr>
                <w:p>
                  <w:pPr>
                    <w:pStyle w:val="52"/>
                  </w:pPr>
                  <w:r>
                    <w:rPr>
                      <w:rFonts w:hint="eastAsia"/>
                    </w:rPr>
                    <w:t>进入城镇污水处理厂</w:t>
                  </w:r>
                </w:p>
              </w:tc>
              <w:tc>
                <w:tcPr>
                  <w:tcW w:w="1025" w:type="dxa"/>
                  <w:vMerge w:val="restart"/>
                  <w:vAlign w:val="center"/>
                </w:tcPr>
                <w:p>
                  <w:pPr>
                    <w:pStyle w:val="52"/>
                  </w:pPr>
                  <w:r>
                    <w:rPr>
                      <w:rFonts w:hint="eastAsia"/>
                    </w:rPr>
                    <w:t>间断排放、排放期</w:t>
                  </w:r>
                </w:p>
                <w:p>
                  <w:pPr>
                    <w:pStyle w:val="52"/>
                  </w:pPr>
                  <w:r>
                    <w:rPr>
                      <w:rFonts w:hint="eastAsia"/>
                    </w:rPr>
                    <w:t>流量不稳定且无</w:t>
                  </w:r>
                </w:p>
                <w:p>
                  <w:pPr>
                    <w:pStyle w:val="52"/>
                  </w:pPr>
                  <w:r>
                    <w:rPr>
                      <w:rFonts w:hint="eastAsia"/>
                    </w:rPr>
                    <w:t>规律、但不属于冲</w:t>
                  </w:r>
                </w:p>
                <w:p>
                  <w:pPr>
                    <w:pStyle w:val="52"/>
                  </w:pPr>
                  <w:r>
                    <w:rPr>
                      <w:rFonts w:hint="eastAsia"/>
                    </w:rPr>
                    <w:t>击型排放</w:t>
                  </w:r>
                </w:p>
              </w:tc>
              <w:tc>
                <w:tcPr>
                  <w:tcW w:w="459" w:type="dxa"/>
                  <w:vMerge w:val="restart"/>
                  <w:vAlign w:val="center"/>
                </w:tcPr>
                <w:p>
                  <w:pPr>
                    <w:pStyle w:val="52"/>
                  </w:pPr>
                  <w:r>
                    <w:rPr>
                      <w:rFonts w:hint="eastAsia"/>
                    </w:rPr>
                    <w:t>姚安县污水处理厂</w:t>
                  </w:r>
                </w:p>
              </w:tc>
              <w:tc>
                <w:tcPr>
                  <w:tcW w:w="831" w:type="dxa"/>
                  <w:vAlign w:val="center"/>
                </w:tcPr>
                <w:p>
                  <w:pPr>
                    <w:pStyle w:val="52"/>
                  </w:pPr>
                  <w:r>
                    <w:rPr>
                      <w:rFonts w:hint="eastAsia"/>
                    </w:rPr>
                    <w:t>p</w:t>
                  </w:r>
                  <w:r>
                    <w:t>H</w:t>
                  </w:r>
                </w:p>
              </w:tc>
              <w:tc>
                <w:tcPr>
                  <w:tcW w:w="1374" w:type="dxa"/>
                  <w:vAlign w:val="center"/>
                </w:tcPr>
                <w:p>
                  <w:pPr>
                    <w:pStyle w:val="52"/>
                  </w:pPr>
                  <w:r>
                    <w:t>6~9</w:t>
                  </w:r>
                  <w:r>
                    <w:rPr>
                      <w:rFonts w:hint="eastAsia"/>
                    </w:rPr>
                    <w:t xml:space="preserve"> 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59" w:type="dxa"/>
                  <w:vMerge w:val="continue"/>
                  <w:vAlign w:val="center"/>
                </w:tcPr>
                <w:p>
                  <w:pPr>
                    <w:pStyle w:val="52"/>
                  </w:pPr>
                </w:p>
              </w:tc>
              <w:tc>
                <w:tcPr>
                  <w:tcW w:w="954" w:type="dxa"/>
                  <w:vMerge w:val="continue"/>
                  <w:vAlign w:val="center"/>
                </w:tcPr>
                <w:p>
                  <w:pPr>
                    <w:pStyle w:val="52"/>
                  </w:pPr>
                </w:p>
              </w:tc>
              <w:tc>
                <w:tcPr>
                  <w:tcW w:w="986" w:type="dxa"/>
                  <w:vMerge w:val="continue"/>
                  <w:vAlign w:val="center"/>
                </w:tcPr>
                <w:p>
                  <w:pPr>
                    <w:pStyle w:val="52"/>
                  </w:pPr>
                </w:p>
              </w:tc>
              <w:tc>
                <w:tcPr>
                  <w:tcW w:w="1039" w:type="dxa"/>
                  <w:vMerge w:val="continue"/>
                  <w:vAlign w:val="center"/>
                </w:tcPr>
                <w:p>
                  <w:pPr>
                    <w:pStyle w:val="52"/>
                  </w:pPr>
                </w:p>
              </w:tc>
              <w:tc>
                <w:tcPr>
                  <w:tcW w:w="787" w:type="dxa"/>
                  <w:vMerge w:val="continue"/>
                  <w:vAlign w:val="center"/>
                </w:tcPr>
                <w:p>
                  <w:pPr>
                    <w:pStyle w:val="52"/>
                  </w:pPr>
                </w:p>
              </w:tc>
              <w:tc>
                <w:tcPr>
                  <w:tcW w:w="529" w:type="dxa"/>
                  <w:vMerge w:val="continue"/>
                  <w:vAlign w:val="center"/>
                </w:tcPr>
                <w:p>
                  <w:pPr>
                    <w:pStyle w:val="52"/>
                  </w:pPr>
                </w:p>
              </w:tc>
              <w:tc>
                <w:tcPr>
                  <w:tcW w:w="1025" w:type="dxa"/>
                  <w:vMerge w:val="continue"/>
                  <w:vAlign w:val="center"/>
                </w:tcPr>
                <w:p>
                  <w:pPr>
                    <w:pStyle w:val="52"/>
                  </w:pPr>
                </w:p>
              </w:tc>
              <w:tc>
                <w:tcPr>
                  <w:tcW w:w="459" w:type="dxa"/>
                  <w:vMerge w:val="continue"/>
                  <w:vAlign w:val="center"/>
                </w:tcPr>
                <w:p>
                  <w:pPr>
                    <w:pStyle w:val="52"/>
                  </w:pPr>
                </w:p>
              </w:tc>
              <w:tc>
                <w:tcPr>
                  <w:tcW w:w="831" w:type="dxa"/>
                  <w:vAlign w:val="center"/>
                </w:tcPr>
                <w:p>
                  <w:pPr>
                    <w:pStyle w:val="52"/>
                  </w:pPr>
                  <w:r>
                    <w:t>COD</w:t>
                  </w:r>
                  <w:r>
                    <w:rPr>
                      <w:vertAlign w:val="subscript"/>
                    </w:rPr>
                    <w:t>cr</w:t>
                  </w:r>
                </w:p>
              </w:tc>
              <w:tc>
                <w:tcPr>
                  <w:tcW w:w="1374" w:type="dxa"/>
                  <w:vAlign w:val="center"/>
                </w:tcPr>
                <w:p>
                  <w:pPr>
                    <w:pStyle w:val="52"/>
                  </w:pPr>
                  <w:r>
                    <w:rPr>
                      <w:rFonts w:hint="eastAsia"/>
                    </w:rPr>
                    <w:t>60mg/L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59" w:type="dxa"/>
                  <w:vMerge w:val="continue"/>
                  <w:vAlign w:val="center"/>
                </w:tcPr>
                <w:p>
                  <w:pPr>
                    <w:pStyle w:val="52"/>
                  </w:pPr>
                </w:p>
              </w:tc>
              <w:tc>
                <w:tcPr>
                  <w:tcW w:w="954" w:type="dxa"/>
                  <w:vMerge w:val="continue"/>
                  <w:vAlign w:val="center"/>
                </w:tcPr>
                <w:p>
                  <w:pPr>
                    <w:pStyle w:val="52"/>
                  </w:pPr>
                </w:p>
              </w:tc>
              <w:tc>
                <w:tcPr>
                  <w:tcW w:w="986" w:type="dxa"/>
                  <w:vMerge w:val="continue"/>
                  <w:vAlign w:val="center"/>
                </w:tcPr>
                <w:p>
                  <w:pPr>
                    <w:pStyle w:val="52"/>
                  </w:pPr>
                </w:p>
              </w:tc>
              <w:tc>
                <w:tcPr>
                  <w:tcW w:w="1039" w:type="dxa"/>
                  <w:vMerge w:val="continue"/>
                  <w:vAlign w:val="center"/>
                </w:tcPr>
                <w:p>
                  <w:pPr>
                    <w:pStyle w:val="52"/>
                  </w:pPr>
                </w:p>
              </w:tc>
              <w:tc>
                <w:tcPr>
                  <w:tcW w:w="787" w:type="dxa"/>
                  <w:vMerge w:val="continue"/>
                  <w:vAlign w:val="center"/>
                </w:tcPr>
                <w:p>
                  <w:pPr>
                    <w:pStyle w:val="52"/>
                  </w:pPr>
                </w:p>
              </w:tc>
              <w:tc>
                <w:tcPr>
                  <w:tcW w:w="529" w:type="dxa"/>
                  <w:vMerge w:val="continue"/>
                  <w:vAlign w:val="center"/>
                </w:tcPr>
                <w:p>
                  <w:pPr>
                    <w:pStyle w:val="52"/>
                  </w:pPr>
                </w:p>
              </w:tc>
              <w:tc>
                <w:tcPr>
                  <w:tcW w:w="1025" w:type="dxa"/>
                  <w:vMerge w:val="continue"/>
                  <w:vAlign w:val="center"/>
                </w:tcPr>
                <w:p>
                  <w:pPr>
                    <w:pStyle w:val="52"/>
                  </w:pPr>
                </w:p>
              </w:tc>
              <w:tc>
                <w:tcPr>
                  <w:tcW w:w="459" w:type="dxa"/>
                  <w:vMerge w:val="continue"/>
                  <w:vAlign w:val="center"/>
                </w:tcPr>
                <w:p>
                  <w:pPr>
                    <w:pStyle w:val="52"/>
                  </w:pPr>
                </w:p>
              </w:tc>
              <w:tc>
                <w:tcPr>
                  <w:tcW w:w="831" w:type="dxa"/>
                  <w:vAlign w:val="center"/>
                </w:tcPr>
                <w:p>
                  <w:pPr>
                    <w:pStyle w:val="52"/>
                  </w:pPr>
                  <w:r>
                    <w:t>BOD</w:t>
                  </w:r>
                  <w:r>
                    <w:rPr>
                      <w:vertAlign w:val="subscript"/>
                    </w:rPr>
                    <w:t>5</w:t>
                  </w:r>
                </w:p>
              </w:tc>
              <w:tc>
                <w:tcPr>
                  <w:tcW w:w="1374" w:type="dxa"/>
                  <w:vAlign w:val="center"/>
                </w:tcPr>
                <w:p>
                  <w:pPr>
                    <w:pStyle w:val="52"/>
                  </w:pPr>
                  <w:r>
                    <w:rPr>
                      <w:rFonts w:hint="eastAsia"/>
                    </w:rPr>
                    <w:t>20mg/L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59" w:type="dxa"/>
                  <w:vMerge w:val="continue"/>
                  <w:vAlign w:val="center"/>
                </w:tcPr>
                <w:p>
                  <w:pPr>
                    <w:pStyle w:val="52"/>
                  </w:pPr>
                </w:p>
              </w:tc>
              <w:tc>
                <w:tcPr>
                  <w:tcW w:w="954" w:type="dxa"/>
                  <w:vMerge w:val="continue"/>
                  <w:vAlign w:val="center"/>
                </w:tcPr>
                <w:p>
                  <w:pPr>
                    <w:pStyle w:val="52"/>
                  </w:pPr>
                </w:p>
              </w:tc>
              <w:tc>
                <w:tcPr>
                  <w:tcW w:w="986" w:type="dxa"/>
                  <w:vMerge w:val="continue"/>
                  <w:vAlign w:val="center"/>
                </w:tcPr>
                <w:p>
                  <w:pPr>
                    <w:pStyle w:val="52"/>
                  </w:pPr>
                </w:p>
              </w:tc>
              <w:tc>
                <w:tcPr>
                  <w:tcW w:w="1039" w:type="dxa"/>
                  <w:vMerge w:val="continue"/>
                  <w:vAlign w:val="center"/>
                </w:tcPr>
                <w:p>
                  <w:pPr>
                    <w:pStyle w:val="52"/>
                  </w:pPr>
                </w:p>
              </w:tc>
              <w:tc>
                <w:tcPr>
                  <w:tcW w:w="787" w:type="dxa"/>
                  <w:vMerge w:val="continue"/>
                  <w:vAlign w:val="center"/>
                </w:tcPr>
                <w:p>
                  <w:pPr>
                    <w:pStyle w:val="52"/>
                  </w:pPr>
                </w:p>
              </w:tc>
              <w:tc>
                <w:tcPr>
                  <w:tcW w:w="529" w:type="dxa"/>
                  <w:vMerge w:val="continue"/>
                  <w:vAlign w:val="center"/>
                </w:tcPr>
                <w:p>
                  <w:pPr>
                    <w:pStyle w:val="52"/>
                  </w:pPr>
                </w:p>
              </w:tc>
              <w:tc>
                <w:tcPr>
                  <w:tcW w:w="1025" w:type="dxa"/>
                  <w:vMerge w:val="continue"/>
                  <w:vAlign w:val="center"/>
                </w:tcPr>
                <w:p>
                  <w:pPr>
                    <w:pStyle w:val="52"/>
                  </w:pPr>
                </w:p>
              </w:tc>
              <w:tc>
                <w:tcPr>
                  <w:tcW w:w="459" w:type="dxa"/>
                  <w:vMerge w:val="continue"/>
                  <w:vAlign w:val="center"/>
                </w:tcPr>
                <w:p>
                  <w:pPr>
                    <w:pStyle w:val="52"/>
                  </w:pPr>
                </w:p>
              </w:tc>
              <w:tc>
                <w:tcPr>
                  <w:tcW w:w="831" w:type="dxa"/>
                  <w:vAlign w:val="center"/>
                </w:tcPr>
                <w:p>
                  <w:pPr>
                    <w:pStyle w:val="52"/>
                  </w:pPr>
                  <w:r>
                    <w:t>SS</w:t>
                  </w:r>
                </w:p>
              </w:tc>
              <w:tc>
                <w:tcPr>
                  <w:tcW w:w="1374" w:type="dxa"/>
                  <w:vAlign w:val="center"/>
                </w:tcPr>
                <w:p>
                  <w:pPr>
                    <w:pStyle w:val="52"/>
                  </w:pPr>
                  <w:r>
                    <w:rPr>
                      <w:rFonts w:hint="eastAsia"/>
                    </w:rPr>
                    <w:t>20mg/L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59" w:type="dxa"/>
                  <w:vMerge w:val="continue"/>
                  <w:vAlign w:val="center"/>
                </w:tcPr>
                <w:p>
                  <w:pPr>
                    <w:pStyle w:val="52"/>
                  </w:pPr>
                </w:p>
              </w:tc>
              <w:tc>
                <w:tcPr>
                  <w:tcW w:w="954" w:type="dxa"/>
                  <w:vMerge w:val="continue"/>
                  <w:vAlign w:val="center"/>
                </w:tcPr>
                <w:p>
                  <w:pPr>
                    <w:pStyle w:val="52"/>
                  </w:pPr>
                </w:p>
              </w:tc>
              <w:tc>
                <w:tcPr>
                  <w:tcW w:w="986" w:type="dxa"/>
                  <w:vMerge w:val="continue"/>
                  <w:vAlign w:val="center"/>
                </w:tcPr>
                <w:p>
                  <w:pPr>
                    <w:pStyle w:val="52"/>
                  </w:pPr>
                </w:p>
              </w:tc>
              <w:tc>
                <w:tcPr>
                  <w:tcW w:w="1039" w:type="dxa"/>
                  <w:vMerge w:val="continue"/>
                  <w:vAlign w:val="center"/>
                </w:tcPr>
                <w:p>
                  <w:pPr>
                    <w:pStyle w:val="52"/>
                  </w:pPr>
                </w:p>
              </w:tc>
              <w:tc>
                <w:tcPr>
                  <w:tcW w:w="787" w:type="dxa"/>
                  <w:vMerge w:val="continue"/>
                  <w:vAlign w:val="center"/>
                </w:tcPr>
                <w:p>
                  <w:pPr>
                    <w:pStyle w:val="52"/>
                  </w:pPr>
                </w:p>
              </w:tc>
              <w:tc>
                <w:tcPr>
                  <w:tcW w:w="529" w:type="dxa"/>
                  <w:vMerge w:val="continue"/>
                  <w:vAlign w:val="center"/>
                </w:tcPr>
                <w:p>
                  <w:pPr>
                    <w:pStyle w:val="52"/>
                  </w:pPr>
                </w:p>
              </w:tc>
              <w:tc>
                <w:tcPr>
                  <w:tcW w:w="1025" w:type="dxa"/>
                  <w:vMerge w:val="continue"/>
                  <w:vAlign w:val="center"/>
                </w:tcPr>
                <w:p>
                  <w:pPr>
                    <w:pStyle w:val="52"/>
                  </w:pPr>
                </w:p>
              </w:tc>
              <w:tc>
                <w:tcPr>
                  <w:tcW w:w="459" w:type="dxa"/>
                  <w:vMerge w:val="continue"/>
                  <w:vAlign w:val="center"/>
                </w:tcPr>
                <w:p>
                  <w:pPr>
                    <w:pStyle w:val="52"/>
                  </w:pPr>
                </w:p>
              </w:tc>
              <w:tc>
                <w:tcPr>
                  <w:tcW w:w="831" w:type="dxa"/>
                  <w:vAlign w:val="center"/>
                </w:tcPr>
                <w:p>
                  <w:pPr>
                    <w:pStyle w:val="52"/>
                  </w:pPr>
                  <w:r>
                    <w:t>氨氮</w:t>
                  </w:r>
                </w:p>
              </w:tc>
              <w:tc>
                <w:tcPr>
                  <w:tcW w:w="1374" w:type="dxa"/>
                  <w:vAlign w:val="center"/>
                </w:tcPr>
                <w:p>
                  <w:pPr>
                    <w:pStyle w:val="52"/>
                  </w:pPr>
                  <w:r>
                    <w:rPr>
                      <w:rFonts w:hint="eastAsia"/>
                    </w:rPr>
                    <w:t>8mg/L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59" w:type="dxa"/>
                  <w:vMerge w:val="continue"/>
                  <w:vAlign w:val="center"/>
                </w:tcPr>
                <w:p>
                  <w:pPr>
                    <w:pStyle w:val="52"/>
                  </w:pPr>
                </w:p>
              </w:tc>
              <w:tc>
                <w:tcPr>
                  <w:tcW w:w="954" w:type="dxa"/>
                  <w:vMerge w:val="continue"/>
                  <w:vAlign w:val="center"/>
                </w:tcPr>
                <w:p>
                  <w:pPr>
                    <w:pStyle w:val="52"/>
                  </w:pPr>
                </w:p>
              </w:tc>
              <w:tc>
                <w:tcPr>
                  <w:tcW w:w="986" w:type="dxa"/>
                  <w:vMerge w:val="continue"/>
                  <w:vAlign w:val="center"/>
                </w:tcPr>
                <w:p>
                  <w:pPr>
                    <w:pStyle w:val="52"/>
                  </w:pPr>
                </w:p>
              </w:tc>
              <w:tc>
                <w:tcPr>
                  <w:tcW w:w="1039" w:type="dxa"/>
                  <w:vMerge w:val="continue"/>
                  <w:vAlign w:val="center"/>
                </w:tcPr>
                <w:p>
                  <w:pPr>
                    <w:pStyle w:val="52"/>
                  </w:pPr>
                </w:p>
              </w:tc>
              <w:tc>
                <w:tcPr>
                  <w:tcW w:w="787" w:type="dxa"/>
                  <w:vMerge w:val="continue"/>
                  <w:vAlign w:val="center"/>
                </w:tcPr>
                <w:p>
                  <w:pPr>
                    <w:pStyle w:val="52"/>
                  </w:pPr>
                </w:p>
              </w:tc>
              <w:tc>
                <w:tcPr>
                  <w:tcW w:w="529" w:type="dxa"/>
                  <w:vMerge w:val="continue"/>
                  <w:vAlign w:val="center"/>
                </w:tcPr>
                <w:p>
                  <w:pPr>
                    <w:pStyle w:val="52"/>
                  </w:pPr>
                </w:p>
              </w:tc>
              <w:tc>
                <w:tcPr>
                  <w:tcW w:w="1025" w:type="dxa"/>
                  <w:vMerge w:val="continue"/>
                  <w:vAlign w:val="center"/>
                </w:tcPr>
                <w:p>
                  <w:pPr>
                    <w:pStyle w:val="52"/>
                  </w:pPr>
                </w:p>
              </w:tc>
              <w:tc>
                <w:tcPr>
                  <w:tcW w:w="459" w:type="dxa"/>
                  <w:vMerge w:val="continue"/>
                  <w:vAlign w:val="center"/>
                </w:tcPr>
                <w:p>
                  <w:pPr>
                    <w:pStyle w:val="52"/>
                  </w:pPr>
                </w:p>
              </w:tc>
              <w:tc>
                <w:tcPr>
                  <w:tcW w:w="831" w:type="dxa"/>
                  <w:vAlign w:val="center"/>
                </w:tcPr>
                <w:p>
                  <w:pPr>
                    <w:pStyle w:val="52"/>
                  </w:pPr>
                  <w:r>
                    <w:t>粪大肠菌群数</w:t>
                  </w:r>
                </w:p>
              </w:tc>
              <w:tc>
                <w:tcPr>
                  <w:tcW w:w="1374" w:type="dxa"/>
                  <w:vAlign w:val="center"/>
                </w:tcPr>
                <w:p>
                  <w:pPr>
                    <w:pStyle w:val="52"/>
                  </w:pPr>
                  <w:r>
                    <w:rPr>
                      <w:rFonts w:hint="eastAsia"/>
                    </w:rPr>
                    <w:t>10</w:t>
                  </w:r>
                  <w:r>
                    <w:rPr>
                      <w:rFonts w:hint="eastAsia"/>
                      <w:vertAlign w:val="superscript"/>
                    </w:rPr>
                    <w:t>4</w:t>
                  </w:r>
                  <w:r>
                    <w:rPr>
                      <w:rFonts w:hint="eastAsia"/>
                    </w:rPr>
                    <w:t>mg/L</w:t>
                  </w:r>
                </w:p>
              </w:tc>
            </w:tr>
          </w:tbl>
          <w:p>
            <w:pPr>
              <w:pStyle w:val="66"/>
            </w:pPr>
          </w:p>
          <w:p>
            <w:pPr>
              <w:pStyle w:val="66"/>
            </w:pPr>
            <w:r>
              <w:rPr>
                <w:rFonts w:hint="eastAsia"/>
              </w:rPr>
              <w:t>表4-6 项目废水排放执行标准情况表（污水管网建成前）</w:t>
            </w:r>
          </w:p>
          <w:tbl>
            <w:tblPr>
              <w:tblStyle w:val="37"/>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66"/>
              <w:gridCol w:w="2666"/>
              <w:gridCol w:w="2243"/>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restart"/>
                  <w:vAlign w:val="center"/>
                </w:tcPr>
                <w:p>
                  <w:pPr>
                    <w:pStyle w:val="146"/>
                  </w:pPr>
                  <w:r>
                    <w:rPr>
                      <w:rFonts w:hint="eastAsia"/>
                    </w:rPr>
                    <w:t>序号</w:t>
                  </w:r>
                </w:p>
              </w:tc>
              <w:tc>
                <w:tcPr>
                  <w:tcW w:w="1066" w:type="dxa"/>
                  <w:vMerge w:val="restart"/>
                  <w:vAlign w:val="center"/>
                </w:tcPr>
                <w:p>
                  <w:pPr>
                    <w:pStyle w:val="146"/>
                  </w:pPr>
                  <w:r>
                    <w:rPr>
                      <w:rFonts w:hint="eastAsia"/>
                    </w:rPr>
                    <w:t>排放口编号</w:t>
                  </w:r>
                </w:p>
              </w:tc>
              <w:tc>
                <w:tcPr>
                  <w:tcW w:w="2666" w:type="dxa"/>
                  <w:vMerge w:val="restart"/>
                  <w:vAlign w:val="center"/>
                </w:tcPr>
                <w:p>
                  <w:pPr>
                    <w:pStyle w:val="146"/>
                  </w:pPr>
                  <w:r>
                    <w:rPr>
                      <w:rFonts w:hint="eastAsia"/>
                    </w:rPr>
                    <w:t>污染物种类</w:t>
                  </w:r>
                </w:p>
              </w:tc>
              <w:tc>
                <w:tcPr>
                  <w:tcW w:w="3966" w:type="dxa"/>
                  <w:gridSpan w:val="2"/>
                  <w:vAlign w:val="center"/>
                </w:tcPr>
                <w:p>
                  <w:pPr>
                    <w:pStyle w:val="146"/>
                  </w:pPr>
                  <w:r>
                    <w:rPr>
                      <w:rFonts w:hint="eastAsia"/>
                    </w:rPr>
                    <w:t>国家或地方污染物排放标准及其他按规定商定的排放协议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vAlign w:val="center"/>
                </w:tcPr>
                <w:p>
                  <w:pPr>
                    <w:pStyle w:val="146"/>
                  </w:pPr>
                </w:p>
              </w:tc>
              <w:tc>
                <w:tcPr>
                  <w:tcW w:w="1066" w:type="dxa"/>
                  <w:vMerge w:val="continue"/>
                  <w:vAlign w:val="center"/>
                </w:tcPr>
                <w:p>
                  <w:pPr>
                    <w:pStyle w:val="146"/>
                  </w:pPr>
                </w:p>
              </w:tc>
              <w:tc>
                <w:tcPr>
                  <w:tcW w:w="2666" w:type="dxa"/>
                  <w:vMerge w:val="continue"/>
                  <w:vAlign w:val="center"/>
                </w:tcPr>
                <w:p>
                  <w:pPr>
                    <w:pStyle w:val="146"/>
                  </w:pPr>
                </w:p>
              </w:tc>
              <w:tc>
                <w:tcPr>
                  <w:tcW w:w="2243" w:type="dxa"/>
                  <w:vAlign w:val="center"/>
                </w:tcPr>
                <w:p>
                  <w:pPr>
                    <w:pStyle w:val="146"/>
                  </w:pPr>
                  <w:r>
                    <w:rPr>
                      <w:rFonts w:hint="eastAsia"/>
                    </w:rPr>
                    <w:t>名称</w:t>
                  </w:r>
                </w:p>
              </w:tc>
              <w:tc>
                <w:tcPr>
                  <w:tcW w:w="1723" w:type="dxa"/>
                  <w:vAlign w:val="center"/>
                </w:tcPr>
                <w:p>
                  <w:pPr>
                    <w:pStyle w:val="146"/>
                  </w:pPr>
                  <w:r>
                    <w:rPr>
                      <w:rFonts w:hint="eastAsia"/>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18" w:type="dxa"/>
                  <w:vMerge w:val="restart"/>
                  <w:vAlign w:val="center"/>
                </w:tcPr>
                <w:p>
                  <w:pPr>
                    <w:pStyle w:val="146"/>
                  </w:pPr>
                  <w:r>
                    <w:rPr>
                      <w:rFonts w:hint="eastAsia"/>
                    </w:rPr>
                    <w:t>1</w:t>
                  </w:r>
                </w:p>
              </w:tc>
              <w:tc>
                <w:tcPr>
                  <w:tcW w:w="1066" w:type="dxa"/>
                  <w:vMerge w:val="restart"/>
                  <w:vAlign w:val="center"/>
                </w:tcPr>
                <w:p>
                  <w:pPr>
                    <w:pStyle w:val="146"/>
                  </w:pPr>
                  <w:r>
                    <w:rPr>
                      <w:rFonts w:hint="eastAsia"/>
                    </w:rPr>
                    <w:t>DW001</w:t>
                  </w:r>
                </w:p>
              </w:tc>
              <w:tc>
                <w:tcPr>
                  <w:tcW w:w="2666" w:type="dxa"/>
                  <w:vAlign w:val="center"/>
                </w:tcPr>
                <w:p>
                  <w:pPr>
                    <w:pStyle w:val="146"/>
                  </w:pPr>
                  <w:r>
                    <w:rPr>
                      <w:rFonts w:hint="eastAsia"/>
                    </w:rPr>
                    <w:t>p</w:t>
                  </w:r>
                  <w:r>
                    <w:t>H</w:t>
                  </w:r>
                </w:p>
              </w:tc>
              <w:tc>
                <w:tcPr>
                  <w:tcW w:w="2243" w:type="dxa"/>
                  <w:vMerge w:val="restart"/>
                  <w:vAlign w:val="center"/>
                </w:tcPr>
                <w:p>
                  <w:pPr>
                    <w:pStyle w:val="146"/>
                  </w:pPr>
                  <w:r>
                    <w:rPr>
                      <w:rFonts w:hint="eastAsia"/>
                    </w:rPr>
                    <w:t>《医疗机构水污染物排放标准》（GB18466-2005）表2排放标准</w:t>
                  </w:r>
                </w:p>
              </w:tc>
              <w:tc>
                <w:tcPr>
                  <w:tcW w:w="1723" w:type="dxa"/>
                  <w:vAlign w:val="center"/>
                </w:tcPr>
                <w:p>
                  <w:pPr>
                    <w:pStyle w:val="146"/>
                  </w:pPr>
                  <w:r>
                    <w:t>6~9</w:t>
                  </w:r>
                  <w:r>
                    <w:rPr>
                      <w:rFonts w:hint="eastAsia"/>
                    </w:rPr>
                    <w:t xml:space="preserve"> 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8" w:type="dxa"/>
                  <w:vMerge w:val="continue"/>
                </w:tcPr>
                <w:p>
                  <w:pPr>
                    <w:pStyle w:val="146"/>
                  </w:pPr>
                </w:p>
              </w:tc>
              <w:tc>
                <w:tcPr>
                  <w:tcW w:w="1066" w:type="dxa"/>
                  <w:vMerge w:val="continue"/>
                </w:tcPr>
                <w:p>
                  <w:pPr>
                    <w:pStyle w:val="146"/>
                  </w:pPr>
                </w:p>
              </w:tc>
              <w:tc>
                <w:tcPr>
                  <w:tcW w:w="2666" w:type="dxa"/>
                  <w:vAlign w:val="center"/>
                </w:tcPr>
                <w:p>
                  <w:pPr>
                    <w:pStyle w:val="146"/>
                  </w:pPr>
                  <w:r>
                    <w:t>COD</w:t>
                  </w:r>
                  <w:r>
                    <w:rPr>
                      <w:vertAlign w:val="subscript"/>
                    </w:rPr>
                    <w:t>cr</w:t>
                  </w:r>
                </w:p>
              </w:tc>
              <w:tc>
                <w:tcPr>
                  <w:tcW w:w="2243" w:type="dxa"/>
                  <w:vMerge w:val="continue"/>
                </w:tcPr>
                <w:p>
                  <w:pPr>
                    <w:pStyle w:val="146"/>
                  </w:pPr>
                </w:p>
              </w:tc>
              <w:tc>
                <w:tcPr>
                  <w:tcW w:w="1723" w:type="dxa"/>
                  <w:vAlign w:val="center"/>
                </w:tcPr>
                <w:p>
                  <w:pPr>
                    <w:pStyle w:val="146"/>
                  </w:pPr>
                  <w:r>
                    <w:rPr>
                      <w:rFonts w:hint="eastAsia"/>
                    </w:rPr>
                    <w:t>60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8" w:type="dxa"/>
                  <w:vMerge w:val="continue"/>
                </w:tcPr>
                <w:p>
                  <w:pPr>
                    <w:pStyle w:val="146"/>
                  </w:pPr>
                </w:p>
              </w:tc>
              <w:tc>
                <w:tcPr>
                  <w:tcW w:w="1066" w:type="dxa"/>
                  <w:vMerge w:val="continue"/>
                </w:tcPr>
                <w:p>
                  <w:pPr>
                    <w:pStyle w:val="146"/>
                  </w:pPr>
                </w:p>
              </w:tc>
              <w:tc>
                <w:tcPr>
                  <w:tcW w:w="2666" w:type="dxa"/>
                  <w:vAlign w:val="center"/>
                </w:tcPr>
                <w:p>
                  <w:pPr>
                    <w:pStyle w:val="146"/>
                  </w:pPr>
                  <w:r>
                    <w:t>BOD</w:t>
                  </w:r>
                  <w:r>
                    <w:rPr>
                      <w:vertAlign w:val="subscript"/>
                    </w:rPr>
                    <w:t>5</w:t>
                  </w:r>
                </w:p>
              </w:tc>
              <w:tc>
                <w:tcPr>
                  <w:tcW w:w="2243" w:type="dxa"/>
                  <w:vMerge w:val="continue"/>
                </w:tcPr>
                <w:p>
                  <w:pPr>
                    <w:pStyle w:val="146"/>
                  </w:pPr>
                </w:p>
              </w:tc>
              <w:tc>
                <w:tcPr>
                  <w:tcW w:w="1723" w:type="dxa"/>
                  <w:vAlign w:val="center"/>
                </w:tcPr>
                <w:p>
                  <w:pPr>
                    <w:pStyle w:val="146"/>
                  </w:pPr>
                  <w:r>
                    <w:rPr>
                      <w:rFonts w:hint="eastAsia"/>
                    </w:rPr>
                    <w:t>20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8" w:type="dxa"/>
                  <w:vMerge w:val="continue"/>
                </w:tcPr>
                <w:p>
                  <w:pPr>
                    <w:pStyle w:val="146"/>
                  </w:pPr>
                </w:p>
              </w:tc>
              <w:tc>
                <w:tcPr>
                  <w:tcW w:w="1066" w:type="dxa"/>
                  <w:vMerge w:val="continue"/>
                </w:tcPr>
                <w:p>
                  <w:pPr>
                    <w:pStyle w:val="146"/>
                  </w:pPr>
                </w:p>
              </w:tc>
              <w:tc>
                <w:tcPr>
                  <w:tcW w:w="2666" w:type="dxa"/>
                  <w:vAlign w:val="center"/>
                </w:tcPr>
                <w:p>
                  <w:pPr>
                    <w:pStyle w:val="146"/>
                  </w:pPr>
                  <w:r>
                    <w:t>SS</w:t>
                  </w:r>
                </w:p>
              </w:tc>
              <w:tc>
                <w:tcPr>
                  <w:tcW w:w="2243" w:type="dxa"/>
                  <w:vMerge w:val="continue"/>
                </w:tcPr>
                <w:p>
                  <w:pPr>
                    <w:pStyle w:val="146"/>
                  </w:pPr>
                </w:p>
              </w:tc>
              <w:tc>
                <w:tcPr>
                  <w:tcW w:w="1723" w:type="dxa"/>
                  <w:vAlign w:val="center"/>
                </w:tcPr>
                <w:p>
                  <w:pPr>
                    <w:pStyle w:val="146"/>
                  </w:pPr>
                  <w:r>
                    <w:rPr>
                      <w:rFonts w:hint="eastAsia"/>
                    </w:rPr>
                    <w:t>20mg/L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tcPr>
                <w:p>
                  <w:pPr>
                    <w:pStyle w:val="146"/>
                  </w:pPr>
                </w:p>
              </w:tc>
              <w:tc>
                <w:tcPr>
                  <w:tcW w:w="1066" w:type="dxa"/>
                  <w:vMerge w:val="continue"/>
                </w:tcPr>
                <w:p>
                  <w:pPr>
                    <w:pStyle w:val="146"/>
                  </w:pPr>
                </w:p>
              </w:tc>
              <w:tc>
                <w:tcPr>
                  <w:tcW w:w="2666" w:type="dxa"/>
                  <w:vAlign w:val="center"/>
                </w:tcPr>
                <w:p>
                  <w:pPr>
                    <w:pStyle w:val="146"/>
                  </w:pPr>
                  <w:r>
                    <w:t>氨氮</w:t>
                  </w:r>
                </w:p>
              </w:tc>
              <w:tc>
                <w:tcPr>
                  <w:tcW w:w="2243" w:type="dxa"/>
                  <w:vMerge w:val="continue"/>
                </w:tcPr>
                <w:p>
                  <w:pPr>
                    <w:pStyle w:val="146"/>
                  </w:pPr>
                </w:p>
              </w:tc>
              <w:tc>
                <w:tcPr>
                  <w:tcW w:w="1723" w:type="dxa"/>
                  <w:vAlign w:val="center"/>
                </w:tcPr>
                <w:p>
                  <w:pPr>
                    <w:pStyle w:val="146"/>
                  </w:pPr>
                  <w:r>
                    <w:rPr>
                      <w:rFonts w:hint="eastAsia"/>
                    </w:rPr>
                    <w:t>15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tcPr>
                <w:p>
                  <w:pPr>
                    <w:pStyle w:val="146"/>
                  </w:pPr>
                </w:p>
              </w:tc>
              <w:tc>
                <w:tcPr>
                  <w:tcW w:w="1066" w:type="dxa"/>
                  <w:vMerge w:val="continue"/>
                </w:tcPr>
                <w:p>
                  <w:pPr>
                    <w:pStyle w:val="146"/>
                  </w:pPr>
                </w:p>
              </w:tc>
              <w:tc>
                <w:tcPr>
                  <w:tcW w:w="2666" w:type="dxa"/>
                  <w:vAlign w:val="center"/>
                </w:tcPr>
                <w:p>
                  <w:pPr>
                    <w:pStyle w:val="146"/>
                  </w:pPr>
                  <w:r>
                    <w:t>粪大肠菌群数</w:t>
                  </w:r>
                </w:p>
              </w:tc>
              <w:tc>
                <w:tcPr>
                  <w:tcW w:w="2243" w:type="dxa"/>
                  <w:vMerge w:val="continue"/>
                </w:tcPr>
                <w:p>
                  <w:pPr>
                    <w:pStyle w:val="146"/>
                  </w:pPr>
                </w:p>
              </w:tc>
              <w:tc>
                <w:tcPr>
                  <w:tcW w:w="1723" w:type="dxa"/>
                  <w:vAlign w:val="center"/>
                </w:tcPr>
                <w:p>
                  <w:pPr>
                    <w:pStyle w:val="146"/>
                  </w:pPr>
                  <w:r>
                    <w:rPr>
                      <w:rFonts w:hint="eastAsia"/>
                    </w:rPr>
                    <w:t>500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8" w:type="dxa"/>
                  <w:vMerge w:val="continue"/>
                </w:tcPr>
                <w:p>
                  <w:pPr>
                    <w:pStyle w:val="146"/>
                  </w:pPr>
                </w:p>
              </w:tc>
              <w:tc>
                <w:tcPr>
                  <w:tcW w:w="1066" w:type="dxa"/>
                  <w:vMerge w:val="continue"/>
                </w:tcPr>
                <w:p>
                  <w:pPr>
                    <w:pStyle w:val="146"/>
                  </w:pPr>
                </w:p>
              </w:tc>
              <w:tc>
                <w:tcPr>
                  <w:tcW w:w="2666" w:type="dxa"/>
                  <w:vAlign w:val="center"/>
                </w:tcPr>
                <w:p>
                  <w:pPr>
                    <w:pStyle w:val="146"/>
                  </w:pPr>
                  <w:r>
                    <w:rPr>
                      <w:rFonts w:hint="eastAsia"/>
                    </w:rPr>
                    <w:t>阴离子表面活性剂</w:t>
                  </w:r>
                </w:p>
              </w:tc>
              <w:tc>
                <w:tcPr>
                  <w:tcW w:w="2243" w:type="dxa"/>
                  <w:vMerge w:val="continue"/>
                </w:tcPr>
                <w:p>
                  <w:pPr>
                    <w:pStyle w:val="146"/>
                  </w:pPr>
                </w:p>
              </w:tc>
              <w:tc>
                <w:tcPr>
                  <w:tcW w:w="1723" w:type="dxa"/>
                  <w:vAlign w:val="center"/>
                </w:tcPr>
                <w:p>
                  <w:pPr>
                    <w:pStyle w:val="146"/>
                  </w:pPr>
                  <w:r>
                    <w:rPr>
                      <w:rFonts w:hint="eastAsia"/>
                    </w:rPr>
                    <w:t>5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tcPr>
                <w:p>
                  <w:pPr>
                    <w:pStyle w:val="146"/>
                  </w:pPr>
                </w:p>
              </w:tc>
              <w:tc>
                <w:tcPr>
                  <w:tcW w:w="1066" w:type="dxa"/>
                  <w:vMerge w:val="continue"/>
                </w:tcPr>
                <w:p>
                  <w:pPr>
                    <w:pStyle w:val="146"/>
                  </w:pPr>
                </w:p>
              </w:tc>
              <w:tc>
                <w:tcPr>
                  <w:tcW w:w="2666" w:type="dxa"/>
                  <w:vAlign w:val="center"/>
                </w:tcPr>
                <w:p>
                  <w:pPr>
                    <w:pStyle w:val="146"/>
                  </w:pPr>
                  <w:r>
                    <w:rPr>
                      <w:rFonts w:hint="eastAsia"/>
                    </w:rPr>
                    <w:t>总余氯</w:t>
                  </w:r>
                </w:p>
              </w:tc>
              <w:tc>
                <w:tcPr>
                  <w:tcW w:w="2243" w:type="dxa"/>
                  <w:vMerge w:val="continue"/>
                </w:tcPr>
                <w:p>
                  <w:pPr>
                    <w:pStyle w:val="146"/>
                  </w:pPr>
                </w:p>
              </w:tc>
              <w:tc>
                <w:tcPr>
                  <w:tcW w:w="1723" w:type="dxa"/>
                  <w:vAlign w:val="center"/>
                </w:tcPr>
                <w:p>
                  <w:pPr>
                    <w:pStyle w:val="146"/>
                  </w:pPr>
                  <w:r>
                    <w:rPr>
                      <w:rFonts w:hint="eastAsia"/>
                    </w:rPr>
                    <w:t>0.5 mg/L</w:t>
                  </w:r>
                </w:p>
              </w:tc>
            </w:tr>
          </w:tbl>
          <w:p>
            <w:pPr>
              <w:ind w:firstLine="482"/>
              <w:rPr>
                <w:b/>
                <w:bCs/>
                <w:kern w:val="0"/>
                <w:szCs w:val="24"/>
              </w:rPr>
            </w:pPr>
          </w:p>
          <w:p>
            <w:pPr>
              <w:ind w:firstLine="482"/>
              <w:rPr>
                <w:b/>
                <w:bCs/>
                <w:kern w:val="0"/>
                <w:szCs w:val="24"/>
              </w:rPr>
            </w:pPr>
          </w:p>
          <w:p>
            <w:pPr>
              <w:ind w:firstLine="482"/>
              <w:rPr>
                <w:b/>
                <w:bCs/>
                <w:kern w:val="0"/>
                <w:szCs w:val="24"/>
              </w:rPr>
            </w:pPr>
          </w:p>
          <w:p>
            <w:pPr>
              <w:ind w:firstLine="482"/>
              <w:rPr>
                <w:b/>
                <w:bCs/>
                <w:kern w:val="0"/>
                <w:szCs w:val="24"/>
              </w:rPr>
            </w:pPr>
          </w:p>
          <w:p>
            <w:pPr>
              <w:pStyle w:val="66"/>
            </w:pPr>
          </w:p>
          <w:p>
            <w:pPr>
              <w:pStyle w:val="66"/>
            </w:pPr>
          </w:p>
          <w:p>
            <w:pPr>
              <w:pStyle w:val="66"/>
            </w:pPr>
          </w:p>
          <w:p>
            <w:pPr>
              <w:pStyle w:val="66"/>
            </w:pPr>
            <w:r>
              <w:rPr>
                <w:rFonts w:hint="eastAsia"/>
              </w:rPr>
              <w:t>续表4-6 项目废水排放执行标准情况表（污水管网建成后）</w:t>
            </w:r>
          </w:p>
          <w:tbl>
            <w:tblPr>
              <w:tblStyle w:val="37"/>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66"/>
              <w:gridCol w:w="2666"/>
              <w:gridCol w:w="2243"/>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restart"/>
                  <w:vAlign w:val="center"/>
                </w:tcPr>
                <w:p>
                  <w:pPr>
                    <w:pStyle w:val="146"/>
                  </w:pPr>
                  <w:r>
                    <w:rPr>
                      <w:rFonts w:hint="eastAsia"/>
                    </w:rPr>
                    <w:t>序号</w:t>
                  </w:r>
                </w:p>
              </w:tc>
              <w:tc>
                <w:tcPr>
                  <w:tcW w:w="1066" w:type="dxa"/>
                  <w:vMerge w:val="restart"/>
                  <w:vAlign w:val="center"/>
                </w:tcPr>
                <w:p>
                  <w:pPr>
                    <w:pStyle w:val="146"/>
                  </w:pPr>
                  <w:r>
                    <w:rPr>
                      <w:rFonts w:hint="eastAsia"/>
                    </w:rPr>
                    <w:t>排放口编号</w:t>
                  </w:r>
                </w:p>
              </w:tc>
              <w:tc>
                <w:tcPr>
                  <w:tcW w:w="2666" w:type="dxa"/>
                  <w:vMerge w:val="restart"/>
                  <w:vAlign w:val="center"/>
                </w:tcPr>
                <w:p>
                  <w:pPr>
                    <w:pStyle w:val="146"/>
                  </w:pPr>
                  <w:r>
                    <w:rPr>
                      <w:rFonts w:hint="eastAsia"/>
                    </w:rPr>
                    <w:t>污染物种类</w:t>
                  </w:r>
                </w:p>
              </w:tc>
              <w:tc>
                <w:tcPr>
                  <w:tcW w:w="3966" w:type="dxa"/>
                  <w:gridSpan w:val="2"/>
                  <w:vAlign w:val="center"/>
                </w:tcPr>
                <w:p>
                  <w:pPr>
                    <w:pStyle w:val="146"/>
                  </w:pPr>
                  <w:r>
                    <w:rPr>
                      <w:rFonts w:hint="eastAsia"/>
                    </w:rPr>
                    <w:t>国家或地方污染物排放标准及其他按规定商定的排放协议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vAlign w:val="center"/>
                </w:tcPr>
                <w:p>
                  <w:pPr>
                    <w:pStyle w:val="146"/>
                  </w:pPr>
                </w:p>
              </w:tc>
              <w:tc>
                <w:tcPr>
                  <w:tcW w:w="1066" w:type="dxa"/>
                  <w:vMerge w:val="continue"/>
                  <w:vAlign w:val="center"/>
                </w:tcPr>
                <w:p>
                  <w:pPr>
                    <w:pStyle w:val="146"/>
                  </w:pPr>
                </w:p>
              </w:tc>
              <w:tc>
                <w:tcPr>
                  <w:tcW w:w="2666" w:type="dxa"/>
                  <w:vMerge w:val="continue"/>
                  <w:vAlign w:val="center"/>
                </w:tcPr>
                <w:p>
                  <w:pPr>
                    <w:pStyle w:val="146"/>
                  </w:pPr>
                </w:p>
              </w:tc>
              <w:tc>
                <w:tcPr>
                  <w:tcW w:w="2243" w:type="dxa"/>
                  <w:vAlign w:val="center"/>
                </w:tcPr>
                <w:p>
                  <w:pPr>
                    <w:pStyle w:val="146"/>
                  </w:pPr>
                  <w:r>
                    <w:rPr>
                      <w:rFonts w:hint="eastAsia"/>
                    </w:rPr>
                    <w:t>名称</w:t>
                  </w:r>
                </w:p>
              </w:tc>
              <w:tc>
                <w:tcPr>
                  <w:tcW w:w="1723" w:type="dxa"/>
                  <w:vAlign w:val="center"/>
                </w:tcPr>
                <w:p>
                  <w:pPr>
                    <w:pStyle w:val="146"/>
                  </w:pPr>
                  <w:r>
                    <w:rPr>
                      <w:rFonts w:hint="eastAsia"/>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18" w:type="dxa"/>
                  <w:vMerge w:val="restart"/>
                  <w:vAlign w:val="center"/>
                </w:tcPr>
                <w:p>
                  <w:pPr>
                    <w:pStyle w:val="146"/>
                  </w:pPr>
                  <w:r>
                    <w:rPr>
                      <w:rFonts w:hint="eastAsia"/>
                    </w:rPr>
                    <w:t>1</w:t>
                  </w:r>
                </w:p>
              </w:tc>
              <w:tc>
                <w:tcPr>
                  <w:tcW w:w="1066" w:type="dxa"/>
                  <w:vMerge w:val="restart"/>
                  <w:vAlign w:val="center"/>
                </w:tcPr>
                <w:p>
                  <w:pPr>
                    <w:pStyle w:val="146"/>
                  </w:pPr>
                  <w:r>
                    <w:rPr>
                      <w:rFonts w:hint="eastAsia"/>
                    </w:rPr>
                    <w:t>DW001</w:t>
                  </w:r>
                </w:p>
              </w:tc>
              <w:tc>
                <w:tcPr>
                  <w:tcW w:w="2666" w:type="dxa"/>
                  <w:vAlign w:val="center"/>
                </w:tcPr>
                <w:p>
                  <w:pPr>
                    <w:pStyle w:val="146"/>
                  </w:pPr>
                  <w:r>
                    <w:rPr>
                      <w:rFonts w:hint="eastAsia"/>
                    </w:rPr>
                    <w:t>p</w:t>
                  </w:r>
                  <w:r>
                    <w:t>H</w:t>
                  </w:r>
                </w:p>
              </w:tc>
              <w:tc>
                <w:tcPr>
                  <w:tcW w:w="2243" w:type="dxa"/>
                  <w:vMerge w:val="restart"/>
                  <w:vAlign w:val="center"/>
                </w:tcPr>
                <w:p>
                  <w:pPr>
                    <w:pStyle w:val="146"/>
                  </w:pPr>
                  <w:r>
                    <w:rPr>
                      <w:rFonts w:hint="eastAsia"/>
                    </w:rPr>
                    <w:t>《医疗机构水污染物排放标准》（GB18466-2005）表2预处理标准和《污水排入城镇下水道水质标准》（</w:t>
                  </w:r>
                  <w:r>
                    <w:t>GB/T31962-2015</w:t>
                  </w:r>
                  <w:r>
                    <w:rPr>
                      <w:rFonts w:hint="eastAsia"/>
                    </w:rPr>
                    <w:t xml:space="preserve">）表 </w:t>
                  </w:r>
                  <w:r>
                    <w:t>1</w:t>
                  </w:r>
                  <w:r>
                    <w:rPr>
                      <w:rFonts w:hint="eastAsia"/>
                    </w:rPr>
                    <w:t>（</w:t>
                  </w:r>
                  <w:r>
                    <w:t xml:space="preserve">A </w:t>
                  </w:r>
                  <w:r>
                    <w:rPr>
                      <w:rFonts w:hint="eastAsia"/>
                    </w:rPr>
                    <w:t>等级）标准</w:t>
                  </w:r>
                </w:p>
              </w:tc>
              <w:tc>
                <w:tcPr>
                  <w:tcW w:w="1723" w:type="dxa"/>
                  <w:vAlign w:val="center"/>
                </w:tcPr>
                <w:p>
                  <w:pPr>
                    <w:pStyle w:val="146"/>
                  </w:pPr>
                  <w:r>
                    <w:t>6~9</w:t>
                  </w:r>
                  <w:r>
                    <w:rPr>
                      <w:rFonts w:hint="eastAsia"/>
                    </w:rPr>
                    <w:t xml:space="preserve"> 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tcPr>
                <w:p>
                  <w:pPr>
                    <w:pStyle w:val="146"/>
                  </w:pPr>
                </w:p>
              </w:tc>
              <w:tc>
                <w:tcPr>
                  <w:tcW w:w="1066" w:type="dxa"/>
                  <w:vMerge w:val="continue"/>
                </w:tcPr>
                <w:p>
                  <w:pPr>
                    <w:pStyle w:val="146"/>
                  </w:pPr>
                </w:p>
              </w:tc>
              <w:tc>
                <w:tcPr>
                  <w:tcW w:w="2666" w:type="dxa"/>
                  <w:vAlign w:val="center"/>
                </w:tcPr>
                <w:p>
                  <w:pPr>
                    <w:pStyle w:val="146"/>
                  </w:pPr>
                  <w:r>
                    <w:t>COD</w:t>
                  </w:r>
                  <w:r>
                    <w:rPr>
                      <w:vertAlign w:val="subscript"/>
                    </w:rPr>
                    <w:t>cr</w:t>
                  </w:r>
                </w:p>
              </w:tc>
              <w:tc>
                <w:tcPr>
                  <w:tcW w:w="2243" w:type="dxa"/>
                  <w:vMerge w:val="continue"/>
                </w:tcPr>
                <w:p>
                  <w:pPr>
                    <w:pStyle w:val="146"/>
                  </w:pPr>
                </w:p>
              </w:tc>
              <w:tc>
                <w:tcPr>
                  <w:tcW w:w="1723" w:type="dxa"/>
                  <w:vAlign w:val="center"/>
                </w:tcPr>
                <w:p>
                  <w:pPr>
                    <w:pStyle w:val="146"/>
                  </w:pPr>
                  <w:r>
                    <w:rPr>
                      <w:rFonts w:hint="eastAsia"/>
                    </w:rPr>
                    <w:t>250mg/L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tcPr>
                <w:p>
                  <w:pPr>
                    <w:pStyle w:val="146"/>
                  </w:pPr>
                </w:p>
              </w:tc>
              <w:tc>
                <w:tcPr>
                  <w:tcW w:w="1066" w:type="dxa"/>
                  <w:vMerge w:val="continue"/>
                </w:tcPr>
                <w:p>
                  <w:pPr>
                    <w:pStyle w:val="146"/>
                  </w:pPr>
                </w:p>
              </w:tc>
              <w:tc>
                <w:tcPr>
                  <w:tcW w:w="2666" w:type="dxa"/>
                  <w:vAlign w:val="center"/>
                </w:tcPr>
                <w:p>
                  <w:pPr>
                    <w:pStyle w:val="146"/>
                  </w:pPr>
                  <w:r>
                    <w:t>BOD</w:t>
                  </w:r>
                  <w:r>
                    <w:rPr>
                      <w:vertAlign w:val="subscript"/>
                    </w:rPr>
                    <w:t>5</w:t>
                  </w:r>
                </w:p>
              </w:tc>
              <w:tc>
                <w:tcPr>
                  <w:tcW w:w="2243" w:type="dxa"/>
                  <w:vMerge w:val="continue"/>
                </w:tcPr>
                <w:p>
                  <w:pPr>
                    <w:pStyle w:val="146"/>
                  </w:pPr>
                </w:p>
              </w:tc>
              <w:tc>
                <w:tcPr>
                  <w:tcW w:w="1723" w:type="dxa"/>
                  <w:vAlign w:val="center"/>
                </w:tcPr>
                <w:p>
                  <w:pPr>
                    <w:pStyle w:val="146"/>
                  </w:pPr>
                  <w:r>
                    <w:rPr>
                      <w:rFonts w:hint="eastAsia"/>
                    </w:rPr>
                    <w:t>100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tcPr>
                <w:p>
                  <w:pPr>
                    <w:pStyle w:val="146"/>
                  </w:pPr>
                </w:p>
              </w:tc>
              <w:tc>
                <w:tcPr>
                  <w:tcW w:w="1066" w:type="dxa"/>
                  <w:vMerge w:val="continue"/>
                </w:tcPr>
                <w:p>
                  <w:pPr>
                    <w:pStyle w:val="146"/>
                  </w:pPr>
                </w:p>
              </w:tc>
              <w:tc>
                <w:tcPr>
                  <w:tcW w:w="2666" w:type="dxa"/>
                  <w:vAlign w:val="center"/>
                </w:tcPr>
                <w:p>
                  <w:pPr>
                    <w:pStyle w:val="146"/>
                  </w:pPr>
                  <w:r>
                    <w:t>SS</w:t>
                  </w:r>
                </w:p>
              </w:tc>
              <w:tc>
                <w:tcPr>
                  <w:tcW w:w="2243" w:type="dxa"/>
                  <w:vMerge w:val="continue"/>
                </w:tcPr>
                <w:p>
                  <w:pPr>
                    <w:pStyle w:val="146"/>
                  </w:pPr>
                </w:p>
              </w:tc>
              <w:tc>
                <w:tcPr>
                  <w:tcW w:w="1723" w:type="dxa"/>
                  <w:vAlign w:val="center"/>
                </w:tcPr>
                <w:p>
                  <w:pPr>
                    <w:pStyle w:val="146"/>
                  </w:pPr>
                  <w:r>
                    <w:rPr>
                      <w:rFonts w:hint="eastAsia"/>
                    </w:rPr>
                    <w:t>60mg/L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tcPr>
                <w:p>
                  <w:pPr>
                    <w:pStyle w:val="146"/>
                  </w:pPr>
                </w:p>
              </w:tc>
              <w:tc>
                <w:tcPr>
                  <w:tcW w:w="1066" w:type="dxa"/>
                  <w:vMerge w:val="continue"/>
                </w:tcPr>
                <w:p>
                  <w:pPr>
                    <w:pStyle w:val="146"/>
                  </w:pPr>
                </w:p>
              </w:tc>
              <w:tc>
                <w:tcPr>
                  <w:tcW w:w="2666" w:type="dxa"/>
                  <w:vAlign w:val="center"/>
                </w:tcPr>
                <w:p>
                  <w:pPr>
                    <w:pStyle w:val="146"/>
                  </w:pPr>
                  <w:r>
                    <w:t>氨氮</w:t>
                  </w:r>
                </w:p>
              </w:tc>
              <w:tc>
                <w:tcPr>
                  <w:tcW w:w="2243" w:type="dxa"/>
                  <w:vMerge w:val="continue"/>
                </w:tcPr>
                <w:p>
                  <w:pPr>
                    <w:pStyle w:val="146"/>
                  </w:pPr>
                </w:p>
              </w:tc>
              <w:tc>
                <w:tcPr>
                  <w:tcW w:w="1723" w:type="dxa"/>
                  <w:vAlign w:val="center"/>
                </w:tcPr>
                <w:p>
                  <w:pPr>
                    <w:pStyle w:val="146"/>
                  </w:pPr>
                  <w:r>
                    <w:rPr>
                      <w:rFonts w:hint="eastAsia"/>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tcPr>
                <w:p>
                  <w:pPr>
                    <w:pStyle w:val="146"/>
                  </w:pPr>
                </w:p>
              </w:tc>
              <w:tc>
                <w:tcPr>
                  <w:tcW w:w="1066" w:type="dxa"/>
                  <w:vMerge w:val="continue"/>
                </w:tcPr>
                <w:p>
                  <w:pPr>
                    <w:pStyle w:val="146"/>
                  </w:pPr>
                </w:p>
              </w:tc>
              <w:tc>
                <w:tcPr>
                  <w:tcW w:w="2666" w:type="dxa"/>
                  <w:vAlign w:val="center"/>
                </w:tcPr>
                <w:p>
                  <w:pPr>
                    <w:pStyle w:val="146"/>
                  </w:pPr>
                  <w:r>
                    <w:t>粪大肠菌群数</w:t>
                  </w:r>
                </w:p>
              </w:tc>
              <w:tc>
                <w:tcPr>
                  <w:tcW w:w="2243" w:type="dxa"/>
                  <w:vMerge w:val="continue"/>
                </w:tcPr>
                <w:p>
                  <w:pPr>
                    <w:pStyle w:val="146"/>
                  </w:pPr>
                </w:p>
              </w:tc>
              <w:tc>
                <w:tcPr>
                  <w:tcW w:w="1723" w:type="dxa"/>
                  <w:vAlign w:val="center"/>
                </w:tcPr>
                <w:p>
                  <w:pPr>
                    <w:pStyle w:val="146"/>
                  </w:pPr>
                  <w:r>
                    <w:rPr>
                      <w:rFonts w:hint="eastAsia"/>
                    </w:rPr>
                    <w:t>5000mg/L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tcPr>
                <w:p>
                  <w:pPr>
                    <w:pStyle w:val="146"/>
                  </w:pPr>
                </w:p>
              </w:tc>
              <w:tc>
                <w:tcPr>
                  <w:tcW w:w="1066" w:type="dxa"/>
                  <w:vMerge w:val="continue"/>
                </w:tcPr>
                <w:p>
                  <w:pPr>
                    <w:pStyle w:val="146"/>
                  </w:pPr>
                </w:p>
              </w:tc>
              <w:tc>
                <w:tcPr>
                  <w:tcW w:w="2666" w:type="dxa"/>
                  <w:vAlign w:val="center"/>
                </w:tcPr>
                <w:p>
                  <w:pPr>
                    <w:pStyle w:val="146"/>
                  </w:pPr>
                  <w:r>
                    <w:rPr>
                      <w:rFonts w:hint="eastAsia"/>
                    </w:rPr>
                    <w:t>阴离子表面活性剂</w:t>
                  </w:r>
                </w:p>
              </w:tc>
              <w:tc>
                <w:tcPr>
                  <w:tcW w:w="2243" w:type="dxa"/>
                  <w:vMerge w:val="continue"/>
                </w:tcPr>
                <w:p>
                  <w:pPr>
                    <w:pStyle w:val="146"/>
                  </w:pPr>
                </w:p>
              </w:tc>
              <w:tc>
                <w:tcPr>
                  <w:tcW w:w="1723" w:type="dxa"/>
                  <w:vAlign w:val="center"/>
                </w:tcPr>
                <w:p>
                  <w:pPr>
                    <w:pStyle w:val="146"/>
                  </w:pPr>
                  <w:r>
                    <w:rPr>
                      <w:rFonts w:hint="eastAsia"/>
                    </w:rPr>
                    <w:t>10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tcPr>
                <w:p>
                  <w:pPr>
                    <w:pStyle w:val="146"/>
                  </w:pPr>
                </w:p>
              </w:tc>
              <w:tc>
                <w:tcPr>
                  <w:tcW w:w="1066" w:type="dxa"/>
                  <w:vMerge w:val="continue"/>
                </w:tcPr>
                <w:p>
                  <w:pPr>
                    <w:pStyle w:val="146"/>
                  </w:pPr>
                </w:p>
              </w:tc>
              <w:tc>
                <w:tcPr>
                  <w:tcW w:w="2666" w:type="dxa"/>
                  <w:vAlign w:val="center"/>
                </w:tcPr>
                <w:p>
                  <w:pPr>
                    <w:pStyle w:val="146"/>
                  </w:pPr>
                  <w:r>
                    <w:rPr>
                      <w:rFonts w:hint="eastAsia"/>
                    </w:rPr>
                    <w:t>总余氯</w:t>
                  </w:r>
                </w:p>
              </w:tc>
              <w:tc>
                <w:tcPr>
                  <w:tcW w:w="2243" w:type="dxa"/>
                  <w:vMerge w:val="continue"/>
                </w:tcPr>
                <w:p>
                  <w:pPr>
                    <w:pStyle w:val="146"/>
                  </w:pPr>
                </w:p>
              </w:tc>
              <w:tc>
                <w:tcPr>
                  <w:tcW w:w="1723" w:type="dxa"/>
                  <w:vAlign w:val="center"/>
                </w:tcPr>
                <w:p>
                  <w:pPr>
                    <w:pStyle w:val="146"/>
                  </w:pPr>
                  <w:r>
                    <w:rPr>
                      <w:rFonts w:hint="eastAsia"/>
                    </w:rPr>
                    <w:t>3—8mg/L</w:t>
                  </w:r>
                </w:p>
              </w:tc>
            </w:tr>
          </w:tbl>
          <w:p>
            <w:pPr>
              <w:ind w:firstLine="482"/>
              <w:rPr>
                <w:b/>
                <w:bCs/>
                <w:kern w:val="0"/>
                <w:szCs w:val="24"/>
              </w:rPr>
            </w:pPr>
          </w:p>
          <w:p>
            <w:pPr>
              <w:ind w:firstLine="482"/>
              <w:rPr>
                <w:b/>
                <w:bCs/>
                <w:kern w:val="0"/>
                <w:szCs w:val="24"/>
              </w:rPr>
            </w:pPr>
            <w:r>
              <w:rPr>
                <w:rFonts w:hint="eastAsia"/>
                <w:b/>
                <w:bCs/>
                <w:kern w:val="0"/>
                <w:szCs w:val="24"/>
              </w:rPr>
              <w:t>（3）水环境监测计划</w:t>
            </w:r>
          </w:p>
          <w:p>
            <w:pPr>
              <w:ind w:firstLine="480"/>
              <w:rPr>
                <w:rFonts w:eastAsia="宋体" w:cs="Times New Roman"/>
                <w:bCs/>
                <w:szCs w:val="24"/>
              </w:rPr>
            </w:pPr>
            <w:r>
              <w:rPr>
                <w:rFonts w:hint="eastAsia" w:eastAsia="宋体" w:cs="Times New Roman"/>
                <w:bCs/>
                <w:szCs w:val="24"/>
              </w:rPr>
              <w:t>便于建设项目的环境管理，现将建设项目水环境监测计划列于表4-7。</w:t>
            </w:r>
          </w:p>
          <w:p>
            <w:pPr>
              <w:ind w:firstLine="360" w:firstLineChars="150"/>
              <w:jc w:val="center"/>
              <w:rPr>
                <w:b/>
              </w:rPr>
            </w:pPr>
            <w:r>
              <w:rPr>
                <w:b/>
              </w:rPr>
              <w:t>表</w:t>
            </w:r>
            <w:r>
              <w:rPr>
                <w:rFonts w:hint="eastAsia"/>
                <w:b/>
              </w:rPr>
              <w:t xml:space="preserve">4-7 </w:t>
            </w:r>
            <w:r>
              <w:rPr>
                <w:b/>
              </w:rPr>
              <w:t xml:space="preserve"> </w:t>
            </w:r>
            <w:r>
              <w:rPr>
                <w:rFonts w:hint="eastAsia"/>
                <w:b/>
              </w:rPr>
              <w:t>废水</w:t>
            </w:r>
            <w:r>
              <w:rPr>
                <w:b/>
              </w:rPr>
              <w:t>监测计划一览表</w:t>
            </w:r>
          </w:p>
          <w:tbl>
            <w:tblPr>
              <w:tblStyle w:val="36"/>
              <w:tblW w:w="8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841"/>
              <w:gridCol w:w="1123"/>
              <w:gridCol w:w="3933"/>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pStyle w:val="146"/>
                  </w:pPr>
                  <w:r>
                    <w:rPr>
                      <w:rFonts w:hint="eastAsia"/>
                    </w:rPr>
                    <w:t>监测时段</w:t>
                  </w:r>
                </w:p>
              </w:tc>
              <w:tc>
                <w:tcPr>
                  <w:tcW w:w="841" w:type="dxa"/>
                  <w:vAlign w:val="center"/>
                </w:tcPr>
                <w:p>
                  <w:pPr>
                    <w:pStyle w:val="146"/>
                  </w:pPr>
                  <w:r>
                    <w:rPr>
                      <w:rFonts w:hint="eastAsia"/>
                    </w:rPr>
                    <w:t>监测项目</w:t>
                  </w:r>
                </w:p>
              </w:tc>
              <w:tc>
                <w:tcPr>
                  <w:tcW w:w="1123" w:type="dxa"/>
                  <w:vAlign w:val="center"/>
                </w:tcPr>
                <w:p>
                  <w:pPr>
                    <w:pStyle w:val="146"/>
                  </w:pPr>
                  <w:r>
                    <w:t>采样点</w:t>
                  </w:r>
                </w:p>
              </w:tc>
              <w:tc>
                <w:tcPr>
                  <w:tcW w:w="3933" w:type="dxa"/>
                  <w:vAlign w:val="center"/>
                </w:tcPr>
                <w:p>
                  <w:pPr>
                    <w:pStyle w:val="146"/>
                  </w:pPr>
                  <w:r>
                    <w:t>监测项目</w:t>
                  </w:r>
                </w:p>
              </w:tc>
              <w:tc>
                <w:tcPr>
                  <w:tcW w:w="1594" w:type="dxa"/>
                  <w:vAlign w:val="center"/>
                </w:tcPr>
                <w:p>
                  <w:pPr>
                    <w:pStyle w:val="146"/>
                  </w:pPr>
                  <w: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952" w:type="dxa"/>
                  <w:vAlign w:val="center"/>
                </w:tcPr>
                <w:p>
                  <w:pPr>
                    <w:pStyle w:val="146"/>
                  </w:pPr>
                  <w:r>
                    <w:t>运营期</w:t>
                  </w:r>
                </w:p>
              </w:tc>
              <w:tc>
                <w:tcPr>
                  <w:tcW w:w="841" w:type="dxa"/>
                  <w:vAlign w:val="center"/>
                </w:tcPr>
                <w:p>
                  <w:pPr>
                    <w:pStyle w:val="146"/>
                  </w:pPr>
                  <w:r>
                    <w:rPr>
                      <w:rFonts w:hint="eastAsia"/>
                    </w:rPr>
                    <w:t>废水</w:t>
                  </w:r>
                </w:p>
              </w:tc>
              <w:tc>
                <w:tcPr>
                  <w:tcW w:w="1123" w:type="dxa"/>
                  <w:vAlign w:val="center"/>
                </w:tcPr>
                <w:p>
                  <w:pPr>
                    <w:pStyle w:val="146"/>
                  </w:pPr>
                  <w:r>
                    <w:rPr>
                      <w:rFonts w:hint="eastAsia"/>
                    </w:rPr>
                    <w:t>污水总入口、总排放口</w:t>
                  </w:r>
                </w:p>
              </w:tc>
              <w:tc>
                <w:tcPr>
                  <w:tcW w:w="3933" w:type="dxa"/>
                  <w:vAlign w:val="center"/>
                </w:tcPr>
                <w:p>
                  <w:pPr>
                    <w:pStyle w:val="146"/>
                  </w:pPr>
                  <w:r>
                    <w:rPr>
                      <w:rFonts w:hint="eastAsia"/>
                      <w:szCs w:val="21"/>
                    </w:rPr>
                    <w:t>pH、</w:t>
                  </w:r>
                  <w:r>
                    <w:rPr>
                      <w:szCs w:val="21"/>
                    </w:rPr>
                    <w:t>COD</w:t>
                  </w:r>
                  <w:r>
                    <w:rPr>
                      <w:szCs w:val="21"/>
                      <w:vertAlign w:val="subscript"/>
                    </w:rPr>
                    <w:t>cr</w:t>
                  </w:r>
                  <w:r>
                    <w:rPr>
                      <w:szCs w:val="21"/>
                    </w:rPr>
                    <w:t>、BOD</w:t>
                  </w:r>
                  <w:r>
                    <w:rPr>
                      <w:szCs w:val="21"/>
                      <w:vertAlign w:val="subscript"/>
                    </w:rPr>
                    <w:t>5</w:t>
                  </w:r>
                  <w:r>
                    <w:rPr>
                      <w:szCs w:val="21"/>
                    </w:rPr>
                    <w:t>、SS、氨氮、粪大肠菌群数、阴离子表面活性剂</w:t>
                  </w:r>
                  <w:r>
                    <w:rPr>
                      <w:rFonts w:hint="eastAsia"/>
                      <w:szCs w:val="21"/>
                    </w:rPr>
                    <w:t>、总余氯等</w:t>
                  </w:r>
                </w:p>
              </w:tc>
              <w:tc>
                <w:tcPr>
                  <w:tcW w:w="1594" w:type="dxa"/>
                  <w:vAlign w:val="center"/>
                </w:tcPr>
                <w:p>
                  <w:pPr>
                    <w:pStyle w:val="146"/>
                  </w:pPr>
                  <w:r>
                    <w:t>按照国家相关要求</w:t>
                  </w:r>
                </w:p>
              </w:tc>
            </w:tr>
          </w:tbl>
          <w:p>
            <w:pPr>
              <w:pStyle w:val="33"/>
              <w:ind w:firstLine="482"/>
            </w:pPr>
            <w:r>
              <w:rPr>
                <w:rFonts w:hint="eastAsia"/>
              </w:rPr>
              <w:t>（4）废水影响评价</w:t>
            </w:r>
          </w:p>
          <w:p>
            <w:pPr>
              <w:ind w:firstLine="480"/>
            </w:pPr>
            <w:r>
              <w:rPr>
                <w:rFonts w:hint="eastAsia"/>
              </w:rPr>
              <w:t>本医院不设传染科、牙科、影像科，无传染病医院废水及显影污水排放。项目执行雨污分流制，雨水经雨水管网收集后排入院外道路雨水管网。</w:t>
            </w:r>
          </w:p>
          <w:p>
            <w:pPr>
              <w:ind w:firstLine="480"/>
            </w:pPr>
            <w:r>
              <w:rPr>
                <w:rFonts w:hint="eastAsia"/>
              </w:rPr>
              <w:t>根据《国家危险废物名录（2021年版）》，检验废液属于医废，产生量为0.08</w:t>
            </w:r>
            <w:r>
              <w:t>m</w:t>
            </w:r>
            <w:r>
              <w:rPr>
                <w:vertAlign w:val="superscript"/>
              </w:rPr>
              <w:t>3</w:t>
            </w:r>
            <w:r>
              <w:t>/d</w:t>
            </w:r>
            <w:r>
              <w:rPr>
                <w:rFonts w:hint="eastAsia"/>
              </w:rPr>
              <w:t>，环评要求建设单位对检验废液采用单独容器收集后暂存于医疗废物暂存间，委托有资质的单位定期清运处置，产生量为0.268</w:t>
            </w:r>
            <w:r>
              <w:t>m</w:t>
            </w:r>
            <w:r>
              <w:rPr>
                <w:vertAlign w:val="superscript"/>
              </w:rPr>
              <w:t>3</w:t>
            </w:r>
            <w:r>
              <w:t>/d</w:t>
            </w:r>
            <w:r>
              <w:rPr>
                <w:rFonts w:hint="eastAsia"/>
              </w:rPr>
              <w:t>，不计入项目废水总量，处理方式可行，对外环境影响较小。</w:t>
            </w:r>
          </w:p>
          <w:p>
            <w:pPr>
              <w:ind w:firstLine="480"/>
              <w:rPr>
                <w:color w:val="4F81BD" w:themeColor="accent1"/>
              </w:rPr>
            </w:pPr>
            <w:r>
              <w:rPr>
                <w:rFonts w:hint="eastAsia"/>
              </w:rPr>
              <w:t>食堂含油废水经隔油池处理后委托环卫部门清运，不计入项目废水总量。</w:t>
            </w:r>
            <w:r>
              <w:rPr>
                <w:rFonts w:hint="eastAsia"/>
                <w:color w:val="4F81BD" w:themeColor="accent1"/>
              </w:rPr>
              <w:t>根据2020年3月3日云南省人民政府办公厅关于《云南省加快推进城市生活垃圾分类工作实施方案》附件1：生活垃圾分类类别、储存及处置方法中厨余垃圾（湿垃圾）：餐饮企业、公共机构食堂在食品加工、饮食服务、单位供餐等活动中产生的食物残渣、食品加工废料和废弃食用油脂，该部分产生的厨余垃圾（湿垃圾）由属地环卫主管部门或其授权、委托的厨余垃圾（湿垃圾）处理企业统一收运和集中处理处置。故本项目含油废水经隔油池处理后与生活垃圾一同处理可行。</w:t>
            </w:r>
          </w:p>
          <w:p>
            <w:pPr>
              <w:ind w:firstLine="480"/>
              <w:rPr>
                <w:kern w:val="0"/>
              </w:rPr>
            </w:pPr>
            <w:r>
              <w:rPr>
                <w:rFonts w:hint="eastAsia"/>
              </w:rPr>
              <w:t>项目总废水量为11.62</w:t>
            </w:r>
            <w:r>
              <w:t>m</w:t>
            </w:r>
            <w:r>
              <w:rPr>
                <w:vertAlign w:val="superscript"/>
              </w:rPr>
              <w:t>3</w:t>
            </w:r>
            <w:r>
              <w:t>/d</w:t>
            </w:r>
            <w:r>
              <w:rPr>
                <w:rFonts w:hint="eastAsia"/>
              </w:rPr>
              <w:t>（4241.3m</w:t>
            </w:r>
            <w:r>
              <w:rPr>
                <w:rFonts w:hint="eastAsia"/>
                <w:vertAlign w:val="superscript"/>
              </w:rPr>
              <w:t>3</w:t>
            </w:r>
            <w:r>
              <w:rPr>
                <w:rFonts w:hint="eastAsia"/>
              </w:rPr>
              <w:t>/a）。生活废水经隔油沉淀处理后和医疗废水进入化粪池处理，再进入医院污水处理站。</w:t>
            </w:r>
            <w:r>
              <w:rPr>
                <w:rFonts w:hint="eastAsia"/>
                <w:b/>
                <w:bCs/>
              </w:rPr>
              <w:t>姚安县城镇污水管网建到下新屯村委会前</w:t>
            </w:r>
            <w:r>
              <w:rPr>
                <w:rFonts w:hint="eastAsia"/>
              </w:rPr>
              <w:t>，项目食堂产生含油废水经隔油池隔油处理后汇入下水道并拢其他生活废水，与医疗废水一并</w:t>
            </w:r>
            <w:r>
              <w:t>排入</w:t>
            </w:r>
            <w:r>
              <w:rPr>
                <w:rFonts w:hint="eastAsia"/>
              </w:rPr>
              <w:t>化粪池进行预处理</w:t>
            </w:r>
            <w:r>
              <w:t>，</w:t>
            </w:r>
            <w:r>
              <w:rPr>
                <w:rFonts w:hint="eastAsia"/>
              </w:rPr>
              <w:t>再</w:t>
            </w:r>
            <w:r>
              <w:t>排入</w:t>
            </w:r>
            <w:r>
              <w:rPr>
                <w:rFonts w:hint="eastAsia"/>
              </w:rPr>
              <w:t>项目自建的一体化污水处理站处理达《医疗机构水污染物排放标准》GB18466-2005表2中排放标准后，排入蜻蛉河；</w:t>
            </w:r>
            <w:r>
              <w:rPr>
                <w:rFonts w:hint="eastAsia"/>
                <w:b/>
                <w:bCs/>
              </w:rPr>
              <w:t>姚安县城镇污水管网建到下新屯村委会后</w:t>
            </w:r>
            <w:r>
              <w:rPr>
                <w:rFonts w:hint="eastAsia"/>
              </w:rPr>
              <w:t>，项目食堂产生含油废水经隔油池隔油处理后汇入下水道并拢其他生活废水，与医疗废水一并</w:t>
            </w:r>
            <w:r>
              <w:t>排入</w:t>
            </w:r>
            <w:r>
              <w:rPr>
                <w:rFonts w:hint="eastAsia"/>
              </w:rPr>
              <w:t>化粪池进行预处理</w:t>
            </w:r>
            <w:r>
              <w:t>，</w:t>
            </w:r>
            <w:r>
              <w:rPr>
                <w:rFonts w:hint="eastAsia"/>
              </w:rPr>
              <w:t>再</w:t>
            </w:r>
            <w:r>
              <w:t>排入</w:t>
            </w:r>
            <w:r>
              <w:rPr>
                <w:rFonts w:hint="eastAsia"/>
              </w:rPr>
              <w:t>项目自建的一体化污水处理站处理达</w:t>
            </w:r>
            <w:r>
              <w:rPr>
                <w:rFonts w:hint="eastAsia" w:cs="Times New Roman"/>
              </w:rPr>
              <w:t>《医疗机构水污染物排放标准》GB18466-2005表2中预处理标准和《污水排入城镇下水道水质标准》（</w:t>
            </w:r>
            <w:r>
              <w:rPr>
                <w:rFonts w:cs="Times New Roman"/>
              </w:rPr>
              <w:t>GB/T31962-2015</w:t>
            </w:r>
            <w:r>
              <w:rPr>
                <w:rFonts w:hint="eastAsia" w:cs="Times New Roman"/>
              </w:rPr>
              <w:t>）表</w:t>
            </w:r>
            <w:r>
              <w:rPr>
                <w:rFonts w:cs="Times New Roman"/>
              </w:rPr>
              <w:t>1</w:t>
            </w:r>
            <w:r>
              <w:rPr>
                <w:rFonts w:hint="eastAsia" w:cs="Times New Roman"/>
              </w:rPr>
              <w:t>（</w:t>
            </w:r>
            <w:r>
              <w:rPr>
                <w:rFonts w:cs="Times New Roman"/>
              </w:rPr>
              <w:t xml:space="preserve">A </w:t>
            </w:r>
            <w:r>
              <w:rPr>
                <w:rFonts w:hint="eastAsia" w:cs="Times New Roman"/>
              </w:rPr>
              <w:t>等级）标准后，排入姚安县污水管网，最终进入姚安县污水处理厂统一处理</w:t>
            </w:r>
            <w:r>
              <w:rPr>
                <w:rFonts w:hint="eastAsia"/>
                <w:kern w:val="0"/>
              </w:rPr>
              <w:t>。</w:t>
            </w:r>
            <w:r>
              <w:rPr>
                <w:rFonts w:hint="eastAsia"/>
              </w:rPr>
              <w:t>项目废水达标排放对周围环境及蜻岭河影响较小。</w:t>
            </w:r>
          </w:p>
          <w:p>
            <w:pPr>
              <w:pStyle w:val="33"/>
              <w:ind w:firstLine="482"/>
            </w:pPr>
            <w:r>
              <w:t>3</w:t>
            </w:r>
            <w:r>
              <w:rPr>
                <w:rFonts w:hint="eastAsia"/>
              </w:rPr>
              <w:t>、噪声</w:t>
            </w:r>
          </w:p>
          <w:p>
            <w:pPr>
              <w:ind w:firstLine="482"/>
              <w:rPr>
                <w:b/>
                <w:bCs/>
                <w:kern w:val="0"/>
              </w:rPr>
            </w:pPr>
            <w:r>
              <w:rPr>
                <w:rFonts w:hint="eastAsia"/>
                <w:b/>
                <w:bCs/>
                <w:kern w:val="0"/>
              </w:rPr>
              <w:t>3.1</w:t>
            </w:r>
            <w:r>
              <w:rPr>
                <w:b/>
                <w:bCs/>
                <w:kern w:val="0"/>
              </w:rPr>
              <w:t>噪声源强分析</w:t>
            </w:r>
          </w:p>
          <w:p>
            <w:pPr>
              <w:ind w:firstLine="480"/>
              <w:rPr>
                <w:kern w:val="0"/>
              </w:rPr>
            </w:pPr>
            <w:r>
              <w:rPr>
                <w:kern w:val="0"/>
              </w:rPr>
              <w:t>本项目噪声</w:t>
            </w:r>
            <w:r>
              <w:rPr>
                <w:rFonts w:hint="eastAsia"/>
                <w:kern w:val="0"/>
              </w:rPr>
              <w:t>来自一体化污水处理站运行时的水泵、风机等噪声，</w:t>
            </w:r>
            <w:r>
              <w:rPr>
                <w:kern w:val="0"/>
              </w:rPr>
              <w:t>噪声源强</w:t>
            </w:r>
            <w:r>
              <w:rPr>
                <w:rFonts w:hint="eastAsia"/>
                <w:kern w:val="0"/>
              </w:rPr>
              <w:t>下表</w:t>
            </w:r>
            <w:r>
              <w:rPr>
                <w:kern w:val="0"/>
              </w:rPr>
              <w:t>。</w:t>
            </w:r>
          </w:p>
          <w:p>
            <w:pPr>
              <w:pStyle w:val="66"/>
              <w:ind w:firstLine="482"/>
              <w:rPr>
                <w:kern w:val="0"/>
              </w:rPr>
            </w:pPr>
            <w:r>
              <w:rPr>
                <w:kern w:val="0"/>
              </w:rPr>
              <w:t>表</w:t>
            </w:r>
            <w:r>
              <w:rPr>
                <w:rFonts w:hint="eastAsia"/>
                <w:kern w:val="0"/>
              </w:rPr>
              <w:t>4-8</w:t>
            </w:r>
            <w:r>
              <w:rPr>
                <w:kern w:val="0"/>
              </w:rPr>
              <w:t xml:space="preserve">  主要噪声源强一览表</w:t>
            </w:r>
          </w:p>
          <w:tbl>
            <w:tblPr>
              <w:tblStyle w:val="36"/>
              <w:tblW w:w="7592"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200"/>
              <w:gridCol w:w="1664"/>
              <w:gridCol w:w="1973"/>
              <w:gridCol w:w="1691"/>
              <w:gridCol w:w="1064"/>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0" w:type="dxa"/>
                  <w:tcBorders>
                    <w:right w:val="single" w:color="000000" w:sz="8" w:space="0"/>
                    <w:tl2br w:val="nil"/>
                    <w:tr2bl w:val="nil"/>
                  </w:tcBorders>
                  <w:vAlign w:val="center"/>
                </w:tcPr>
                <w:p>
                  <w:pPr>
                    <w:pStyle w:val="146"/>
                    <w:spacing w:line="0" w:lineRule="atLeast"/>
                    <w:rPr>
                      <w:szCs w:val="21"/>
                    </w:rPr>
                  </w:pPr>
                  <w:r>
                    <w:rPr>
                      <w:rFonts w:hint="eastAsia"/>
                      <w:szCs w:val="21"/>
                    </w:rPr>
                    <w:t>产噪设备</w:t>
                  </w:r>
                </w:p>
              </w:tc>
              <w:tc>
                <w:tcPr>
                  <w:tcW w:w="1664" w:type="dxa"/>
                  <w:tcBorders>
                    <w:left w:val="single" w:color="000000" w:sz="8" w:space="0"/>
                    <w:tl2br w:val="nil"/>
                    <w:tr2bl w:val="nil"/>
                  </w:tcBorders>
                  <w:vAlign w:val="center"/>
                </w:tcPr>
                <w:p>
                  <w:pPr>
                    <w:pStyle w:val="146"/>
                    <w:spacing w:line="0" w:lineRule="atLeast"/>
                    <w:rPr>
                      <w:szCs w:val="21"/>
                    </w:rPr>
                  </w:pPr>
                  <w:r>
                    <w:rPr>
                      <w:rFonts w:hint="eastAsia"/>
                      <w:szCs w:val="21"/>
                    </w:rPr>
                    <w:t>噪声源强</w:t>
                  </w:r>
                  <w:r>
                    <w:rPr>
                      <w:szCs w:val="21"/>
                    </w:rPr>
                    <w:t>（dB）</w:t>
                  </w:r>
                </w:p>
              </w:tc>
              <w:tc>
                <w:tcPr>
                  <w:tcW w:w="1973" w:type="dxa"/>
                  <w:tcBorders>
                    <w:right w:val="single" w:color="000000" w:sz="8" w:space="0"/>
                    <w:tl2br w:val="nil"/>
                    <w:tr2bl w:val="nil"/>
                  </w:tcBorders>
                  <w:vAlign w:val="center"/>
                </w:tcPr>
                <w:p>
                  <w:pPr>
                    <w:pStyle w:val="146"/>
                    <w:spacing w:line="0" w:lineRule="atLeast"/>
                    <w:rPr>
                      <w:szCs w:val="21"/>
                    </w:rPr>
                  </w:pPr>
                  <w:r>
                    <w:rPr>
                      <w:rFonts w:hint="eastAsia"/>
                      <w:szCs w:val="21"/>
                    </w:rPr>
                    <w:t>降噪措施</w:t>
                  </w:r>
                </w:p>
              </w:tc>
              <w:tc>
                <w:tcPr>
                  <w:tcW w:w="1691" w:type="dxa"/>
                  <w:tcBorders>
                    <w:left w:val="single" w:color="000000" w:sz="8" w:space="0"/>
                    <w:tl2br w:val="nil"/>
                    <w:tr2bl w:val="nil"/>
                  </w:tcBorders>
                  <w:vAlign w:val="center"/>
                </w:tcPr>
                <w:p>
                  <w:pPr>
                    <w:pStyle w:val="146"/>
                    <w:spacing w:line="0" w:lineRule="atLeast"/>
                    <w:rPr>
                      <w:szCs w:val="21"/>
                    </w:rPr>
                  </w:pPr>
                  <w:r>
                    <w:rPr>
                      <w:rFonts w:hint="eastAsia"/>
                      <w:szCs w:val="21"/>
                    </w:rPr>
                    <w:t>排放源强</w:t>
                  </w:r>
                  <w:r>
                    <w:rPr>
                      <w:szCs w:val="21"/>
                    </w:rPr>
                    <w:t>（dB）</w:t>
                  </w:r>
                </w:p>
              </w:tc>
              <w:tc>
                <w:tcPr>
                  <w:tcW w:w="1064" w:type="dxa"/>
                  <w:tcBorders>
                    <w:right w:val="single" w:color="000000" w:sz="8" w:space="0"/>
                    <w:tl2br w:val="nil"/>
                    <w:tr2bl w:val="nil"/>
                  </w:tcBorders>
                  <w:vAlign w:val="center"/>
                </w:tcPr>
                <w:p>
                  <w:pPr>
                    <w:pStyle w:val="146"/>
                    <w:spacing w:line="0" w:lineRule="atLeast"/>
                    <w:rPr>
                      <w:szCs w:val="21"/>
                    </w:rPr>
                  </w:pPr>
                  <w:r>
                    <w:rPr>
                      <w:szCs w:val="21"/>
                    </w:rPr>
                    <w:t>噪声性质</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0" w:type="dxa"/>
                  <w:tcBorders>
                    <w:right w:val="single" w:color="000000" w:sz="8" w:space="0"/>
                    <w:tl2br w:val="nil"/>
                    <w:tr2bl w:val="nil"/>
                  </w:tcBorders>
                  <w:vAlign w:val="center"/>
                </w:tcPr>
                <w:p>
                  <w:pPr>
                    <w:pStyle w:val="146"/>
                    <w:spacing w:line="0" w:lineRule="atLeast"/>
                    <w:rPr>
                      <w:szCs w:val="21"/>
                    </w:rPr>
                  </w:pPr>
                  <w:r>
                    <w:rPr>
                      <w:rFonts w:hint="eastAsia"/>
                      <w:szCs w:val="21"/>
                    </w:rPr>
                    <w:t>水泵</w:t>
                  </w:r>
                </w:p>
              </w:tc>
              <w:tc>
                <w:tcPr>
                  <w:tcW w:w="1664" w:type="dxa"/>
                  <w:tcBorders>
                    <w:left w:val="single" w:color="000000" w:sz="8" w:space="0"/>
                    <w:tl2br w:val="nil"/>
                    <w:tr2bl w:val="nil"/>
                  </w:tcBorders>
                  <w:vAlign w:val="center"/>
                </w:tcPr>
                <w:p>
                  <w:pPr>
                    <w:pStyle w:val="146"/>
                    <w:spacing w:line="0" w:lineRule="atLeast"/>
                    <w:rPr>
                      <w:szCs w:val="21"/>
                    </w:rPr>
                  </w:pPr>
                  <w:r>
                    <w:rPr>
                      <w:rFonts w:hint="eastAsia"/>
                      <w:szCs w:val="21"/>
                    </w:rPr>
                    <w:t>75</w:t>
                  </w:r>
                </w:p>
              </w:tc>
              <w:tc>
                <w:tcPr>
                  <w:tcW w:w="1973" w:type="dxa"/>
                  <w:tcBorders>
                    <w:right w:val="single" w:color="000000" w:sz="8" w:space="0"/>
                    <w:tl2br w:val="nil"/>
                    <w:tr2bl w:val="nil"/>
                  </w:tcBorders>
                  <w:vAlign w:val="center"/>
                </w:tcPr>
                <w:p>
                  <w:pPr>
                    <w:widowControl/>
                    <w:spacing w:line="0" w:lineRule="atLeast"/>
                    <w:ind w:firstLine="0" w:firstLineChars="0"/>
                    <w:jc w:val="left"/>
                    <w:rPr>
                      <w:sz w:val="21"/>
                      <w:szCs w:val="21"/>
                    </w:rPr>
                  </w:pPr>
                  <w:r>
                    <w:rPr>
                      <w:rFonts w:hint="eastAsia" w:ascii="宋体" w:hAnsi="宋体" w:eastAsia="宋体" w:cs="宋体"/>
                      <w:kern w:val="0"/>
                      <w:sz w:val="21"/>
                      <w:szCs w:val="21"/>
                      <w:lang w:bidi="ar"/>
                    </w:rPr>
                    <w:t>安装减震垫，房屋隔声、合理布局</w:t>
                  </w:r>
                </w:p>
              </w:tc>
              <w:tc>
                <w:tcPr>
                  <w:tcW w:w="1691" w:type="dxa"/>
                  <w:tcBorders>
                    <w:left w:val="single" w:color="000000" w:sz="8" w:space="0"/>
                    <w:tl2br w:val="nil"/>
                    <w:tr2bl w:val="nil"/>
                  </w:tcBorders>
                  <w:vAlign w:val="center"/>
                </w:tcPr>
                <w:p>
                  <w:pPr>
                    <w:pStyle w:val="146"/>
                    <w:spacing w:line="0" w:lineRule="atLeast"/>
                    <w:rPr>
                      <w:szCs w:val="21"/>
                    </w:rPr>
                  </w:pPr>
                  <w:r>
                    <w:rPr>
                      <w:rFonts w:hint="eastAsia"/>
                      <w:szCs w:val="21"/>
                    </w:rPr>
                    <w:t>60</w:t>
                  </w:r>
                </w:p>
              </w:tc>
              <w:tc>
                <w:tcPr>
                  <w:tcW w:w="1064" w:type="dxa"/>
                  <w:tcBorders>
                    <w:right w:val="single" w:color="000000" w:sz="8" w:space="0"/>
                    <w:tl2br w:val="nil"/>
                    <w:tr2bl w:val="nil"/>
                  </w:tcBorders>
                  <w:vAlign w:val="center"/>
                </w:tcPr>
                <w:p>
                  <w:pPr>
                    <w:pStyle w:val="146"/>
                    <w:spacing w:line="0" w:lineRule="atLeast"/>
                    <w:rPr>
                      <w:szCs w:val="21"/>
                    </w:rPr>
                  </w:pPr>
                  <w:r>
                    <w:rPr>
                      <w:rFonts w:hint="eastAsia"/>
                      <w:szCs w:val="21"/>
                    </w:rPr>
                    <w:t>连续</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00" w:type="dxa"/>
                  <w:tcBorders>
                    <w:right w:val="single" w:color="000000" w:sz="8" w:space="0"/>
                    <w:tl2br w:val="nil"/>
                    <w:tr2bl w:val="nil"/>
                  </w:tcBorders>
                  <w:vAlign w:val="center"/>
                </w:tcPr>
                <w:p>
                  <w:pPr>
                    <w:pStyle w:val="146"/>
                    <w:spacing w:line="0" w:lineRule="atLeast"/>
                    <w:rPr>
                      <w:szCs w:val="21"/>
                    </w:rPr>
                  </w:pPr>
                  <w:r>
                    <w:rPr>
                      <w:rFonts w:hint="eastAsia"/>
                      <w:szCs w:val="21"/>
                    </w:rPr>
                    <w:t>风机</w:t>
                  </w:r>
                </w:p>
              </w:tc>
              <w:tc>
                <w:tcPr>
                  <w:tcW w:w="1664" w:type="dxa"/>
                  <w:tcBorders>
                    <w:left w:val="single" w:color="000000" w:sz="8" w:space="0"/>
                    <w:tl2br w:val="nil"/>
                    <w:tr2bl w:val="nil"/>
                  </w:tcBorders>
                  <w:vAlign w:val="center"/>
                </w:tcPr>
                <w:p>
                  <w:pPr>
                    <w:pStyle w:val="146"/>
                    <w:spacing w:line="0" w:lineRule="atLeast"/>
                    <w:rPr>
                      <w:szCs w:val="21"/>
                    </w:rPr>
                  </w:pPr>
                  <w:r>
                    <w:rPr>
                      <w:rFonts w:hint="eastAsia"/>
                      <w:szCs w:val="21"/>
                    </w:rPr>
                    <w:t>80</w:t>
                  </w:r>
                </w:p>
              </w:tc>
              <w:tc>
                <w:tcPr>
                  <w:tcW w:w="1973" w:type="dxa"/>
                  <w:tcBorders>
                    <w:right w:val="single" w:color="000000" w:sz="8" w:space="0"/>
                    <w:tl2br w:val="nil"/>
                    <w:tr2bl w:val="nil"/>
                  </w:tcBorders>
                  <w:vAlign w:val="center"/>
                </w:tcPr>
                <w:p>
                  <w:pPr>
                    <w:widowControl/>
                    <w:spacing w:line="0" w:lineRule="atLeast"/>
                    <w:ind w:firstLine="0" w:firstLineChars="0"/>
                    <w:jc w:val="left"/>
                    <w:rPr>
                      <w:sz w:val="21"/>
                      <w:szCs w:val="21"/>
                    </w:rPr>
                  </w:pPr>
                  <w:r>
                    <w:rPr>
                      <w:rFonts w:hint="eastAsia" w:ascii="宋体" w:hAnsi="宋体" w:eastAsia="宋体" w:cs="宋体"/>
                      <w:kern w:val="0"/>
                      <w:sz w:val="21"/>
                      <w:szCs w:val="21"/>
                      <w:lang w:bidi="ar"/>
                    </w:rPr>
                    <w:t>安装了减震垫，合理布局</w:t>
                  </w:r>
                </w:p>
              </w:tc>
              <w:tc>
                <w:tcPr>
                  <w:tcW w:w="1691" w:type="dxa"/>
                  <w:tcBorders>
                    <w:left w:val="single" w:color="000000" w:sz="8" w:space="0"/>
                    <w:tl2br w:val="nil"/>
                    <w:tr2bl w:val="nil"/>
                  </w:tcBorders>
                  <w:vAlign w:val="center"/>
                </w:tcPr>
                <w:p>
                  <w:pPr>
                    <w:pStyle w:val="146"/>
                    <w:spacing w:line="0" w:lineRule="atLeast"/>
                    <w:rPr>
                      <w:szCs w:val="21"/>
                    </w:rPr>
                  </w:pPr>
                  <w:r>
                    <w:rPr>
                      <w:rFonts w:hint="eastAsia"/>
                      <w:szCs w:val="21"/>
                    </w:rPr>
                    <w:t>65</w:t>
                  </w:r>
                </w:p>
              </w:tc>
              <w:tc>
                <w:tcPr>
                  <w:tcW w:w="1064" w:type="dxa"/>
                  <w:tcBorders>
                    <w:right w:val="single" w:color="000000" w:sz="8" w:space="0"/>
                    <w:tl2br w:val="nil"/>
                    <w:tr2bl w:val="nil"/>
                  </w:tcBorders>
                  <w:vAlign w:val="center"/>
                </w:tcPr>
                <w:p>
                  <w:pPr>
                    <w:pStyle w:val="146"/>
                    <w:spacing w:line="0" w:lineRule="atLeast"/>
                    <w:rPr>
                      <w:szCs w:val="21"/>
                    </w:rPr>
                  </w:pPr>
                  <w:r>
                    <w:rPr>
                      <w:rFonts w:hint="eastAsia"/>
                      <w:szCs w:val="21"/>
                    </w:rPr>
                    <w:t>连续</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7592" w:type="dxa"/>
                  <w:gridSpan w:val="5"/>
                  <w:tcBorders>
                    <w:right w:val="single" w:color="000000" w:sz="8" w:space="0"/>
                    <w:tl2br w:val="nil"/>
                    <w:tr2bl w:val="nil"/>
                  </w:tcBorders>
                  <w:vAlign w:val="center"/>
                </w:tcPr>
                <w:p>
                  <w:pPr>
                    <w:widowControl/>
                    <w:spacing w:line="0" w:lineRule="atLeast"/>
                    <w:ind w:firstLine="0" w:firstLineChars="0"/>
                    <w:jc w:val="left"/>
                    <w:rPr>
                      <w:sz w:val="21"/>
                      <w:szCs w:val="21"/>
                    </w:rPr>
                  </w:pPr>
                  <w:r>
                    <w:rPr>
                      <w:rFonts w:hint="eastAsia" w:ascii="宋体" w:hAnsi="宋体" w:eastAsia="宋体" w:cs="宋体"/>
                      <w:kern w:val="0"/>
                      <w:sz w:val="21"/>
                      <w:szCs w:val="21"/>
                      <w:lang w:bidi="ar"/>
                    </w:rPr>
                    <w:t>注：一体化污水处理站本身设计已隔声，因此产生的噪声分贝较低。</w:t>
                  </w:r>
                </w:p>
              </w:tc>
            </w:tr>
          </w:tbl>
          <w:p>
            <w:pPr>
              <w:ind w:firstLine="0" w:firstLineChars="0"/>
              <w:jc w:val="left"/>
              <w:rPr>
                <w:rFonts w:eastAsia="宋体" w:cs="Times New Roman"/>
                <w:b/>
                <w:szCs w:val="24"/>
              </w:rPr>
            </w:pPr>
          </w:p>
          <w:p>
            <w:pPr>
              <w:widowControl/>
              <w:ind w:firstLine="482"/>
              <w:jc w:val="left"/>
              <w:rPr>
                <w:b/>
              </w:rPr>
            </w:pPr>
            <w:r>
              <w:rPr>
                <w:rFonts w:hint="eastAsia" w:eastAsia="宋体" w:cs="Times New Roman"/>
                <w:b/>
                <w:kern w:val="0"/>
                <w:szCs w:val="24"/>
                <w:lang w:bidi="ar"/>
              </w:rPr>
              <w:t>3.2</w:t>
            </w:r>
            <w:r>
              <w:rPr>
                <w:rFonts w:hint="eastAsia" w:ascii="宋体" w:hAnsi="宋体" w:eastAsia="宋体" w:cs="宋体"/>
                <w:b/>
                <w:kern w:val="0"/>
                <w:szCs w:val="24"/>
                <w:lang w:bidi="ar"/>
              </w:rPr>
              <w:t xml:space="preserve">噪声影响分析 </w:t>
            </w:r>
          </w:p>
          <w:p>
            <w:pPr>
              <w:widowControl/>
              <w:ind w:firstLine="482"/>
              <w:jc w:val="left"/>
              <w:rPr>
                <w:b/>
              </w:rPr>
            </w:pPr>
            <w:r>
              <w:rPr>
                <w:rFonts w:hint="eastAsia" w:eastAsia="宋体" w:cs="Times New Roman"/>
                <w:b/>
                <w:kern w:val="0"/>
                <w:szCs w:val="24"/>
                <w:lang w:bidi="ar"/>
              </w:rPr>
              <w:t>（1）</w:t>
            </w:r>
            <w:r>
              <w:rPr>
                <w:rFonts w:hint="eastAsia" w:ascii="宋体" w:hAnsi="宋体" w:eastAsia="宋体" w:cs="宋体"/>
                <w:b/>
                <w:kern w:val="0"/>
                <w:szCs w:val="24"/>
                <w:lang w:bidi="ar"/>
              </w:rPr>
              <w:t xml:space="preserve">项目厂界噪声影响分析 </w:t>
            </w:r>
          </w:p>
          <w:p>
            <w:pPr>
              <w:widowControl/>
              <w:ind w:firstLine="482"/>
              <w:jc w:val="left"/>
              <w:rPr>
                <w:b/>
              </w:rPr>
            </w:pPr>
            <w:r>
              <w:rPr>
                <w:rFonts w:hint="eastAsia" w:eastAsia="宋体" w:cs="Times New Roman"/>
                <w:b/>
                <w:kern w:val="0"/>
                <w:szCs w:val="24"/>
                <w:lang w:bidi="ar"/>
              </w:rPr>
              <w:t>1）</w:t>
            </w:r>
            <w:r>
              <w:rPr>
                <w:rFonts w:hint="eastAsia" w:ascii="宋体" w:hAnsi="宋体" w:eastAsia="宋体" w:cs="宋体"/>
                <w:b/>
                <w:kern w:val="0"/>
                <w:szCs w:val="24"/>
                <w:lang w:bidi="ar"/>
              </w:rPr>
              <w:t xml:space="preserve">声环境影响预测 </w:t>
            </w:r>
          </w:p>
          <w:p>
            <w:pPr>
              <w:widowControl/>
              <w:ind w:firstLine="480"/>
              <w:jc w:val="left"/>
            </w:pPr>
            <w:r>
              <w:rPr>
                <w:rFonts w:hint="eastAsia" w:ascii="宋体" w:hAnsi="宋体" w:eastAsia="宋体" w:cs="宋体"/>
                <w:kern w:val="0"/>
                <w:szCs w:val="24"/>
                <w:lang w:bidi="ar"/>
              </w:rPr>
              <w:t xml:space="preserve">a、噪声衰减预测模式 </w:t>
            </w:r>
          </w:p>
          <w:p>
            <w:pPr>
              <w:widowControl/>
              <w:ind w:firstLine="480"/>
              <w:jc w:val="left"/>
            </w:pPr>
            <w:r>
              <w:rPr>
                <w:rFonts w:hint="eastAsia" w:ascii="宋体" w:hAnsi="宋体" w:eastAsia="宋体" w:cs="宋体"/>
                <w:kern w:val="0"/>
                <w:szCs w:val="24"/>
                <w:lang w:bidi="ar"/>
              </w:rPr>
              <w:t xml:space="preserve">噪声传播到受声点，受传播距离，空气吸收，阻挡物的反射与屏障等因素的影响而产生衰减。其预测模式如下： </w:t>
            </w:r>
          </w:p>
          <w:p>
            <w:pPr>
              <w:widowControl/>
              <w:ind w:firstLine="480"/>
              <w:jc w:val="left"/>
            </w:pPr>
            <w:r>
              <w:rPr>
                <w:rFonts w:eastAsia="宋体" w:cs="Times New Roman"/>
                <w:kern w:val="0"/>
                <w:szCs w:val="24"/>
                <w:lang w:bidi="ar"/>
              </w:rPr>
              <w:t>LA</w:t>
            </w:r>
            <w:r>
              <w:rPr>
                <w:rFonts w:hint="eastAsia" w:ascii="宋体" w:hAnsi="宋体" w:eastAsia="宋体" w:cs="宋体"/>
                <w:kern w:val="0"/>
                <w:szCs w:val="24"/>
                <w:lang w:bidi="ar"/>
              </w:rPr>
              <w:t>（</w:t>
            </w:r>
            <w:r>
              <w:rPr>
                <w:rFonts w:eastAsia="宋体" w:cs="Times New Roman"/>
                <w:kern w:val="0"/>
                <w:szCs w:val="24"/>
                <w:lang w:bidi="ar"/>
              </w:rPr>
              <w:t>r</w:t>
            </w:r>
            <w:r>
              <w:rPr>
                <w:rFonts w:hint="eastAsia" w:ascii="宋体" w:hAnsi="宋体" w:eastAsia="宋体" w:cs="宋体"/>
                <w:kern w:val="0"/>
                <w:szCs w:val="24"/>
                <w:lang w:bidi="ar"/>
              </w:rPr>
              <w:t>）</w:t>
            </w:r>
            <w:r>
              <w:rPr>
                <w:rFonts w:eastAsia="宋体" w:cs="Times New Roman"/>
                <w:kern w:val="0"/>
                <w:szCs w:val="24"/>
                <w:lang w:bidi="ar"/>
              </w:rPr>
              <w:t>=LA</w:t>
            </w:r>
            <w:r>
              <w:rPr>
                <w:rFonts w:hint="eastAsia" w:ascii="宋体" w:hAnsi="宋体" w:eastAsia="宋体" w:cs="宋体"/>
                <w:kern w:val="0"/>
                <w:szCs w:val="24"/>
                <w:lang w:bidi="ar"/>
              </w:rPr>
              <w:t>（</w:t>
            </w:r>
            <w:r>
              <w:rPr>
                <w:rFonts w:eastAsia="宋体" w:cs="Times New Roman"/>
                <w:kern w:val="0"/>
                <w:szCs w:val="24"/>
                <w:lang w:bidi="ar"/>
              </w:rPr>
              <w:t>r0</w:t>
            </w:r>
            <w:r>
              <w:rPr>
                <w:rFonts w:hint="eastAsia" w:ascii="宋体" w:hAnsi="宋体" w:eastAsia="宋体" w:cs="宋体"/>
                <w:kern w:val="0"/>
                <w:szCs w:val="24"/>
                <w:lang w:bidi="ar"/>
              </w:rPr>
              <w:t>）－</w:t>
            </w:r>
            <w:r>
              <w:rPr>
                <w:rFonts w:eastAsia="宋体" w:cs="Times New Roman"/>
                <w:kern w:val="0"/>
                <w:szCs w:val="24"/>
                <w:lang w:bidi="ar"/>
              </w:rPr>
              <w:t xml:space="preserve">A </w:t>
            </w:r>
          </w:p>
          <w:p>
            <w:pPr>
              <w:widowControl/>
              <w:ind w:firstLine="480"/>
              <w:jc w:val="left"/>
            </w:pPr>
            <w:r>
              <w:rPr>
                <w:rFonts w:eastAsia="宋体" w:cs="Times New Roman"/>
                <w:kern w:val="0"/>
                <w:szCs w:val="24"/>
                <w:lang w:bidi="ar"/>
              </w:rPr>
              <w:t xml:space="preserve">A= Adiv+ Abar+Aatm+Agr+ Amisc </w:t>
            </w:r>
          </w:p>
          <w:p>
            <w:pPr>
              <w:widowControl/>
              <w:ind w:firstLine="480"/>
              <w:jc w:val="left"/>
            </w:pPr>
            <w:r>
              <w:rPr>
                <w:rFonts w:hint="eastAsia" w:ascii="宋体" w:hAnsi="宋体" w:eastAsia="宋体" w:cs="宋体"/>
                <w:kern w:val="0"/>
                <w:szCs w:val="24"/>
                <w:lang w:bidi="ar"/>
              </w:rPr>
              <w:t>式中：</w:t>
            </w:r>
            <w:r>
              <w:rPr>
                <w:rFonts w:eastAsia="宋体" w:cs="Times New Roman"/>
                <w:kern w:val="0"/>
                <w:szCs w:val="24"/>
                <w:lang w:bidi="ar"/>
              </w:rPr>
              <w:t>LA (r)</w:t>
            </w:r>
            <w:r>
              <w:rPr>
                <w:rFonts w:hint="eastAsia" w:ascii="宋体" w:hAnsi="宋体" w:eastAsia="宋体" w:cs="宋体"/>
                <w:kern w:val="0"/>
                <w:szCs w:val="24"/>
                <w:lang w:bidi="ar"/>
              </w:rPr>
              <w:t>－距声源</w:t>
            </w:r>
            <w:r>
              <w:rPr>
                <w:rFonts w:eastAsia="宋体" w:cs="Times New Roman"/>
                <w:kern w:val="0"/>
                <w:szCs w:val="24"/>
                <w:lang w:bidi="ar"/>
              </w:rPr>
              <w:t>r</w:t>
            </w:r>
            <w:r>
              <w:rPr>
                <w:rFonts w:hint="eastAsia" w:ascii="宋体" w:hAnsi="宋体" w:eastAsia="宋体" w:cs="宋体"/>
                <w:kern w:val="0"/>
                <w:szCs w:val="24"/>
                <w:lang w:bidi="ar"/>
              </w:rPr>
              <w:t>处的</w:t>
            </w:r>
            <w:r>
              <w:rPr>
                <w:rFonts w:eastAsia="宋体" w:cs="Times New Roman"/>
                <w:kern w:val="0"/>
                <w:szCs w:val="24"/>
                <w:lang w:bidi="ar"/>
              </w:rPr>
              <w:t>A</w:t>
            </w:r>
            <w:r>
              <w:rPr>
                <w:rFonts w:hint="eastAsia" w:ascii="宋体" w:hAnsi="宋体" w:eastAsia="宋体" w:cs="宋体"/>
                <w:kern w:val="0"/>
                <w:szCs w:val="24"/>
                <w:lang w:bidi="ar"/>
              </w:rPr>
              <w:t>声级，</w:t>
            </w:r>
            <w:r>
              <w:rPr>
                <w:rFonts w:eastAsia="宋体" w:cs="Times New Roman"/>
                <w:kern w:val="0"/>
                <w:szCs w:val="24"/>
                <w:lang w:bidi="ar"/>
              </w:rPr>
              <w:t>dB</w:t>
            </w:r>
            <w:r>
              <w:rPr>
                <w:rFonts w:hint="eastAsia" w:ascii="宋体" w:hAnsi="宋体" w:eastAsia="宋体" w:cs="宋体"/>
                <w:kern w:val="0"/>
                <w:szCs w:val="24"/>
                <w:lang w:bidi="ar"/>
              </w:rPr>
              <w:t>（</w:t>
            </w:r>
            <w:r>
              <w:rPr>
                <w:rFonts w:eastAsia="宋体" w:cs="Times New Roman"/>
                <w:kern w:val="0"/>
                <w:szCs w:val="24"/>
                <w:lang w:bidi="ar"/>
              </w:rPr>
              <w:t>A</w:t>
            </w:r>
            <w:r>
              <w:rPr>
                <w:rFonts w:hint="eastAsia" w:ascii="宋体" w:hAnsi="宋体" w:eastAsia="宋体" w:cs="宋体"/>
                <w:kern w:val="0"/>
                <w:szCs w:val="24"/>
                <w:lang w:bidi="ar"/>
              </w:rPr>
              <w:t xml:space="preserve">）； </w:t>
            </w:r>
          </w:p>
          <w:p>
            <w:pPr>
              <w:widowControl/>
              <w:ind w:firstLine="480"/>
              <w:jc w:val="left"/>
            </w:pPr>
            <w:r>
              <w:rPr>
                <w:rFonts w:eastAsia="宋体" w:cs="Times New Roman"/>
                <w:kern w:val="0"/>
                <w:szCs w:val="24"/>
                <w:lang w:bidi="ar"/>
              </w:rPr>
              <w:t>LA (r0)</w:t>
            </w:r>
            <w:r>
              <w:rPr>
                <w:rFonts w:hint="eastAsia" w:ascii="宋体" w:hAnsi="宋体" w:eastAsia="宋体" w:cs="宋体"/>
                <w:kern w:val="0"/>
                <w:szCs w:val="24"/>
                <w:lang w:bidi="ar"/>
              </w:rPr>
              <w:t xml:space="preserve">－参考位置 </w:t>
            </w:r>
            <w:r>
              <w:rPr>
                <w:rFonts w:eastAsia="宋体" w:cs="Times New Roman"/>
                <w:kern w:val="0"/>
                <w:szCs w:val="24"/>
                <w:lang w:bidi="ar"/>
              </w:rPr>
              <w:t xml:space="preserve">r0 </w:t>
            </w:r>
            <w:r>
              <w:rPr>
                <w:rFonts w:hint="eastAsia" w:ascii="宋体" w:hAnsi="宋体" w:eastAsia="宋体" w:cs="宋体"/>
                <w:kern w:val="0"/>
                <w:szCs w:val="24"/>
                <w:lang w:bidi="ar"/>
              </w:rPr>
              <w:t>处的</w:t>
            </w:r>
            <w:r>
              <w:rPr>
                <w:rFonts w:eastAsia="宋体" w:cs="Times New Roman"/>
                <w:kern w:val="0"/>
                <w:szCs w:val="24"/>
                <w:lang w:bidi="ar"/>
              </w:rPr>
              <w:t>A</w:t>
            </w:r>
            <w:r>
              <w:rPr>
                <w:rFonts w:hint="eastAsia" w:ascii="宋体" w:hAnsi="宋体" w:eastAsia="宋体" w:cs="宋体"/>
                <w:kern w:val="0"/>
                <w:szCs w:val="24"/>
                <w:lang w:bidi="ar"/>
              </w:rPr>
              <w:t>声级，</w:t>
            </w:r>
            <w:r>
              <w:rPr>
                <w:rFonts w:eastAsia="宋体" w:cs="Times New Roman"/>
                <w:kern w:val="0"/>
                <w:szCs w:val="24"/>
                <w:lang w:bidi="ar"/>
              </w:rPr>
              <w:t>dB</w:t>
            </w:r>
            <w:r>
              <w:rPr>
                <w:rFonts w:hint="eastAsia" w:ascii="宋体" w:hAnsi="宋体" w:eastAsia="宋体" w:cs="宋体"/>
                <w:kern w:val="0"/>
                <w:szCs w:val="24"/>
                <w:lang w:bidi="ar"/>
              </w:rPr>
              <w:t>（</w:t>
            </w:r>
            <w:r>
              <w:rPr>
                <w:rFonts w:eastAsia="宋体" w:cs="Times New Roman"/>
                <w:kern w:val="0"/>
                <w:szCs w:val="24"/>
                <w:lang w:bidi="ar"/>
              </w:rPr>
              <w:t>A</w:t>
            </w:r>
            <w:r>
              <w:rPr>
                <w:rFonts w:hint="eastAsia" w:ascii="宋体" w:hAnsi="宋体" w:eastAsia="宋体" w:cs="宋体"/>
                <w:kern w:val="0"/>
                <w:szCs w:val="24"/>
                <w:lang w:bidi="ar"/>
              </w:rPr>
              <w:t xml:space="preserve">）； </w:t>
            </w:r>
          </w:p>
          <w:p>
            <w:pPr>
              <w:widowControl/>
              <w:ind w:firstLine="480"/>
              <w:jc w:val="left"/>
            </w:pPr>
            <w:r>
              <w:rPr>
                <w:rFonts w:eastAsia="宋体" w:cs="Times New Roman"/>
                <w:kern w:val="0"/>
                <w:szCs w:val="24"/>
                <w:lang w:bidi="ar"/>
              </w:rPr>
              <w:t>A—</w:t>
            </w:r>
            <w:r>
              <w:rPr>
                <w:rFonts w:hint="eastAsia" w:ascii="宋体" w:hAnsi="宋体" w:eastAsia="宋体" w:cs="宋体"/>
                <w:kern w:val="0"/>
                <w:szCs w:val="24"/>
                <w:lang w:bidi="ar"/>
              </w:rPr>
              <w:t>倍频带衰减，</w:t>
            </w:r>
            <w:r>
              <w:rPr>
                <w:rFonts w:eastAsia="宋体" w:cs="Times New Roman"/>
                <w:kern w:val="0"/>
                <w:szCs w:val="24"/>
                <w:lang w:bidi="ar"/>
              </w:rPr>
              <w:t>dB</w:t>
            </w:r>
            <w:r>
              <w:rPr>
                <w:rFonts w:hint="eastAsia" w:ascii="宋体" w:hAnsi="宋体" w:eastAsia="宋体" w:cs="宋体"/>
                <w:kern w:val="0"/>
                <w:szCs w:val="24"/>
                <w:lang w:bidi="ar"/>
              </w:rPr>
              <w:t xml:space="preserve">； </w:t>
            </w:r>
          </w:p>
          <w:p>
            <w:pPr>
              <w:widowControl/>
              <w:ind w:firstLine="480"/>
              <w:jc w:val="left"/>
            </w:pPr>
            <w:r>
              <w:rPr>
                <w:rFonts w:eastAsia="宋体" w:cs="Times New Roman"/>
                <w:kern w:val="0"/>
                <w:szCs w:val="24"/>
                <w:lang w:bidi="ar"/>
              </w:rPr>
              <w:t>Adiv</w:t>
            </w:r>
            <w:r>
              <w:rPr>
                <w:rFonts w:hint="eastAsia" w:ascii="宋体" w:hAnsi="宋体" w:eastAsia="宋体" w:cs="宋体"/>
                <w:kern w:val="0"/>
                <w:szCs w:val="24"/>
                <w:lang w:bidi="ar"/>
              </w:rPr>
              <w:t>－几何发散所引起的倍频带衰减，即距离所引起的衰减，无指向性点声源几何发散衰减的基本公式为：</w:t>
            </w:r>
            <w:r>
              <w:rPr>
                <w:rFonts w:eastAsia="宋体" w:cs="Times New Roman"/>
                <w:kern w:val="0"/>
                <w:szCs w:val="24"/>
                <w:lang w:bidi="ar"/>
              </w:rPr>
              <w:t>Adiv</w:t>
            </w:r>
            <w:r>
              <w:rPr>
                <w:rFonts w:hint="eastAsia" w:ascii="宋体" w:hAnsi="宋体" w:eastAsia="宋体" w:cs="宋体"/>
                <w:kern w:val="0"/>
                <w:szCs w:val="24"/>
                <w:lang w:bidi="ar"/>
              </w:rPr>
              <w:t>＝</w:t>
            </w:r>
            <w:r>
              <w:rPr>
                <w:rFonts w:eastAsia="宋体" w:cs="Times New Roman"/>
                <w:kern w:val="0"/>
                <w:szCs w:val="24"/>
                <w:lang w:bidi="ar"/>
              </w:rPr>
              <w:t>20 lg(r /r0)</w:t>
            </w:r>
            <w:r>
              <w:rPr>
                <w:rFonts w:hint="eastAsia" w:ascii="宋体" w:hAnsi="宋体" w:eastAsia="宋体" w:cs="宋体"/>
                <w:kern w:val="0"/>
                <w:szCs w:val="24"/>
                <w:lang w:bidi="ar"/>
              </w:rPr>
              <w:t xml:space="preserve">； </w:t>
            </w:r>
          </w:p>
          <w:p>
            <w:pPr>
              <w:widowControl/>
              <w:ind w:firstLine="480"/>
              <w:jc w:val="left"/>
            </w:pPr>
            <w:r>
              <w:rPr>
                <w:rFonts w:eastAsia="宋体" w:cs="Times New Roman"/>
                <w:kern w:val="0"/>
                <w:szCs w:val="24"/>
                <w:lang w:bidi="ar"/>
              </w:rPr>
              <w:t>Abar</w:t>
            </w:r>
            <w:r>
              <w:rPr>
                <w:rFonts w:hint="eastAsia" w:ascii="宋体" w:hAnsi="宋体" w:eastAsia="宋体" w:cs="宋体"/>
                <w:kern w:val="0"/>
                <w:szCs w:val="24"/>
                <w:lang w:bidi="ar"/>
              </w:rPr>
              <w:t>－屏障物所引起</w:t>
            </w:r>
            <w:r>
              <w:rPr>
                <w:rFonts w:hint="eastAsia" w:ascii="宋体" w:hAnsi="宋体" w:eastAsia="宋体" w:cs="宋体"/>
                <w:kern w:val="0"/>
                <w:szCs w:val="24"/>
                <w:lang w:eastAsia="zh-CN" w:bidi="ar"/>
              </w:rPr>
              <w:t>的</w:t>
            </w:r>
            <w:r>
              <w:rPr>
                <w:rFonts w:hint="eastAsia" w:ascii="宋体" w:hAnsi="宋体" w:eastAsia="宋体" w:cs="宋体"/>
                <w:kern w:val="0"/>
                <w:szCs w:val="24"/>
                <w:lang w:bidi="ar"/>
              </w:rPr>
              <w:t xml:space="preserve">倍频带衰减。 </w:t>
            </w:r>
          </w:p>
          <w:p>
            <w:pPr>
              <w:widowControl/>
              <w:ind w:firstLine="480"/>
              <w:jc w:val="left"/>
            </w:pPr>
            <w:r>
              <w:rPr>
                <w:rFonts w:eastAsia="宋体" w:cs="Times New Roman"/>
                <w:kern w:val="0"/>
                <w:szCs w:val="24"/>
                <w:lang w:bidi="ar"/>
              </w:rPr>
              <w:t>Aatm</w:t>
            </w:r>
            <w:r>
              <w:rPr>
                <w:rFonts w:hint="eastAsia" w:ascii="宋体" w:hAnsi="宋体" w:eastAsia="宋体" w:cs="宋体"/>
                <w:kern w:val="0"/>
                <w:szCs w:val="24"/>
                <w:lang w:bidi="ar"/>
              </w:rPr>
              <w:t xml:space="preserve">－空气吸收所引起的倍频带衰减，一般情况下可忽略不计。 </w:t>
            </w:r>
          </w:p>
          <w:p>
            <w:pPr>
              <w:widowControl/>
              <w:ind w:firstLine="480"/>
              <w:jc w:val="left"/>
            </w:pPr>
            <w:r>
              <w:rPr>
                <w:rFonts w:eastAsia="宋体" w:cs="Times New Roman"/>
                <w:kern w:val="0"/>
                <w:szCs w:val="24"/>
                <w:lang w:bidi="ar"/>
              </w:rPr>
              <w:t>Agr</w:t>
            </w:r>
            <w:r>
              <w:rPr>
                <w:rFonts w:hint="eastAsia" w:ascii="宋体" w:hAnsi="宋体" w:eastAsia="宋体" w:cs="宋体"/>
                <w:kern w:val="0"/>
                <w:szCs w:val="24"/>
                <w:lang w:bidi="ar"/>
              </w:rPr>
              <w:t xml:space="preserve">－地面效应所引起的倍频带衰减，本项目不考虑地面效应。 </w:t>
            </w:r>
          </w:p>
          <w:p>
            <w:pPr>
              <w:widowControl/>
              <w:ind w:firstLine="480"/>
              <w:jc w:val="left"/>
            </w:pPr>
            <w:r>
              <w:rPr>
                <w:rFonts w:eastAsia="宋体" w:cs="Times New Roman"/>
                <w:kern w:val="0"/>
                <w:szCs w:val="24"/>
                <w:lang w:bidi="ar"/>
              </w:rPr>
              <w:t>Amisc</w:t>
            </w:r>
            <w:r>
              <w:rPr>
                <w:rFonts w:hint="eastAsia" w:ascii="宋体" w:hAnsi="宋体" w:eastAsia="宋体" w:cs="宋体"/>
                <w:kern w:val="0"/>
                <w:szCs w:val="24"/>
                <w:lang w:bidi="ar"/>
              </w:rPr>
              <w:t xml:space="preserve">－其他多方面倍频带衰减，一般情况下的环境影响评价中，不需考虑附加影响。 </w:t>
            </w:r>
          </w:p>
          <w:p>
            <w:pPr>
              <w:widowControl/>
              <w:ind w:firstLine="480"/>
              <w:jc w:val="left"/>
            </w:pPr>
            <w:r>
              <w:rPr>
                <w:rFonts w:eastAsia="宋体" w:cs="Times New Roman"/>
                <w:kern w:val="0"/>
                <w:szCs w:val="24"/>
                <w:lang w:bidi="ar"/>
              </w:rPr>
              <w:t>b</w:t>
            </w:r>
            <w:r>
              <w:rPr>
                <w:rFonts w:hint="eastAsia" w:ascii="宋体" w:hAnsi="宋体" w:eastAsia="宋体" w:cs="宋体"/>
                <w:kern w:val="0"/>
                <w:szCs w:val="24"/>
                <w:lang w:bidi="ar"/>
              </w:rPr>
              <w:t>、预测点的</w:t>
            </w:r>
            <w:r>
              <w:rPr>
                <w:rFonts w:eastAsia="宋体" w:cs="Times New Roman"/>
                <w:kern w:val="0"/>
                <w:szCs w:val="24"/>
                <w:lang w:bidi="ar"/>
              </w:rPr>
              <w:t>A</w:t>
            </w:r>
            <w:r>
              <w:rPr>
                <w:rFonts w:hint="eastAsia" w:ascii="宋体" w:hAnsi="宋体" w:eastAsia="宋体" w:cs="宋体"/>
                <w:kern w:val="0"/>
                <w:szCs w:val="24"/>
                <w:lang w:bidi="ar"/>
              </w:rPr>
              <w:t xml:space="preserve">声级叠加公式： </w:t>
            </w:r>
          </w:p>
          <w:p>
            <w:pPr>
              <w:widowControl/>
              <w:ind w:firstLine="480"/>
              <w:jc w:val="left"/>
            </w:pPr>
            <w:r>
              <w:rPr>
                <w:rFonts w:hint="eastAsia" w:ascii="宋体" w:hAnsi="宋体" w:eastAsia="宋体" w:cs="宋体"/>
                <w:kern w:val="0"/>
                <w:szCs w:val="24"/>
                <w:lang w:bidi="ar"/>
              </w:rPr>
              <w:t>各受声点的声源叠加按下列公式计算：</w:t>
            </w:r>
          </w:p>
          <w:p>
            <w:pPr>
              <w:widowControl/>
              <w:ind w:firstLine="480"/>
              <w:jc w:val="center"/>
              <w:rPr>
                <w:rFonts w:ascii="宋体" w:hAnsi="宋体" w:eastAsia="宋体" w:cs="宋体"/>
                <w:kern w:val="0"/>
                <w:szCs w:val="24"/>
                <w:lang w:bidi="ar"/>
              </w:rPr>
            </w:pPr>
            <w:r>
              <w:rPr>
                <w:rFonts w:hint="eastAsia" w:ascii="宋体" w:hAnsi="宋体" w:eastAsia="宋体" w:cs="宋体"/>
                <w:kern w:val="0"/>
                <w:szCs w:val="24"/>
                <w:lang w:bidi="ar"/>
              </w:rPr>
              <w:drawing>
                <wp:inline distT="0" distB="0" distL="114300" distR="114300">
                  <wp:extent cx="1628775" cy="657225"/>
                  <wp:effectExtent l="0" t="0" r="9525" b="9525"/>
                  <wp:docPr id="2" name="图片 2" descr="16285109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8510922(1)"/>
                          <pic:cNvPicPr>
                            <a:picLocks noChangeAspect="1"/>
                          </pic:cNvPicPr>
                        </pic:nvPicPr>
                        <pic:blipFill>
                          <a:blip r:embed="rId19"/>
                          <a:stretch>
                            <a:fillRect/>
                          </a:stretch>
                        </pic:blipFill>
                        <pic:spPr>
                          <a:xfrm>
                            <a:off x="0" y="0"/>
                            <a:ext cx="1628775" cy="657225"/>
                          </a:xfrm>
                          <a:prstGeom prst="rect">
                            <a:avLst/>
                          </a:prstGeom>
                        </pic:spPr>
                      </pic:pic>
                    </a:graphicData>
                  </a:graphic>
                </wp:inline>
              </w:drawing>
            </w:r>
          </w:p>
          <w:p>
            <w:pPr>
              <w:widowControl/>
              <w:ind w:firstLine="480"/>
              <w:jc w:val="left"/>
            </w:pPr>
            <w:r>
              <w:rPr>
                <w:rFonts w:hint="eastAsia" w:ascii="宋体" w:hAnsi="宋体" w:eastAsia="宋体" w:cs="宋体"/>
                <w:kern w:val="0"/>
                <w:szCs w:val="24"/>
                <w:lang w:bidi="ar"/>
              </w:rPr>
              <w:t>式中：</w:t>
            </w:r>
            <w:r>
              <w:rPr>
                <w:rFonts w:eastAsia="宋体" w:cs="Times New Roman"/>
                <w:kern w:val="0"/>
                <w:szCs w:val="24"/>
                <w:lang w:bidi="ar"/>
              </w:rPr>
              <w:t>LA——</w:t>
            </w:r>
            <w:r>
              <w:rPr>
                <w:rFonts w:hint="eastAsia" w:ascii="宋体" w:hAnsi="宋体" w:eastAsia="宋体" w:cs="宋体"/>
                <w:kern w:val="0"/>
                <w:szCs w:val="24"/>
                <w:lang w:bidi="ar"/>
              </w:rPr>
              <w:t xml:space="preserve">距声源r处的总A声级； </w:t>
            </w:r>
          </w:p>
          <w:p>
            <w:pPr>
              <w:widowControl/>
              <w:ind w:firstLine="480"/>
              <w:jc w:val="left"/>
            </w:pPr>
            <w:r>
              <w:rPr>
                <w:rFonts w:eastAsia="宋体" w:cs="Times New Roman"/>
                <w:kern w:val="0"/>
                <w:szCs w:val="24"/>
                <w:lang w:bidi="ar"/>
              </w:rPr>
              <w:t>n——</w:t>
            </w:r>
            <w:r>
              <w:rPr>
                <w:rFonts w:hint="eastAsia" w:ascii="宋体" w:hAnsi="宋体" w:eastAsia="宋体" w:cs="宋体"/>
                <w:kern w:val="0"/>
                <w:szCs w:val="24"/>
                <w:lang w:bidi="ar"/>
              </w:rPr>
              <w:t xml:space="preserve">声源数量； </w:t>
            </w:r>
          </w:p>
          <w:p>
            <w:pPr>
              <w:widowControl/>
              <w:ind w:firstLine="480"/>
              <w:jc w:val="left"/>
            </w:pPr>
            <w:r>
              <w:rPr>
                <w:rFonts w:eastAsia="宋体" w:cs="Times New Roman"/>
                <w:kern w:val="0"/>
                <w:szCs w:val="24"/>
                <w:lang w:bidi="ar"/>
              </w:rPr>
              <w:t>Li——</w:t>
            </w:r>
            <w:r>
              <w:rPr>
                <w:rFonts w:hint="eastAsia" w:ascii="宋体" w:hAnsi="宋体" w:eastAsia="宋体" w:cs="宋体"/>
                <w:kern w:val="0"/>
                <w:szCs w:val="24"/>
                <w:lang w:bidi="ar"/>
              </w:rPr>
              <w:t xml:space="preserve">第 </w:t>
            </w:r>
            <w:r>
              <w:rPr>
                <w:rFonts w:eastAsia="宋体" w:cs="Times New Roman"/>
                <w:kern w:val="0"/>
                <w:szCs w:val="24"/>
                <w:lang w:bidi="ar"/>
              </w:rPr>
              <w:t>i</w:t>
            </w:r>
            <w:r>
              <w:rPr>
                <w:rFonts w:hint="eastAsia" w:ascii="宋体" w:hAnsi="宋体" w:eastAsia="宋体" w:cs="宋体"/>
                <w:kern w:val="0"/>
                <w:szCs w:val="24"/>
                <w:lang w:bidi="ar"/>
              </w:rPr>
              <w:t>个声源的</w:t>
            </w:r>
            <w:r>
              <w:rPr>
                <w:rFonts w:eastAsia="宋体" w:cs="Times New Roman"/>
                <w:kern w:val="0"/>
                <w:szCs w:val="24"/>
                <w:lang w:bidi="ar"/>
              </w:rPr>
              <w:t>A</w:t>
            </w:r>
            <w:r>
              <w:rPr>
                <w:rFonts w:hint="eastAsia" w:ascii="宋体" w:hAnsi="宋体" w:eastAsia="宋体" w:cs="宋体"/>
                <w:kern w:val="0"/>
                <w:szCs w:val="24"/>
                <w:lang w:bidi="ar"/>
              </w:rPr>
              <w:t>声级，</w:t>
            </w:r>
            <w:r>
              <w:rPr>
                <w:rFonts w:eastAsia="宋体" w:cs="Times New Roman"/>
                <w:kern w:val="0"/>
                <w:szCs w:val="24"/>
                <w:lang w:bidi="ar"/>
              </w:rPr>
              <w:t>dB</w:t>
            </w:r>
            <w:r>
              <w:rPr>
                <w:rFonts w:hint="eastAsia" w:ascii="宋体" w:hAnsi="宋体" w:eastAsia="宋体" w:cs="宋体"/>
                <w:kern w:val="0"/>
                <w:szCs w:val="24"/>
                <w:lang w:bidi="ar"/>
              </w:rPr>
              <w:t>（</w:t>
            </w:r>
            <w:r>
              <w:rPr>
                <w:rFonts w:eastAsia="宋体" w:cs="Times New Roman"/>
                <w:kern w:val="0"/>
                <w:szCs w:val="24"/>
                <w:lang w:bidi="ar"/>
              </w:rPr>
              <w:t>A</w:t>
            </w:r>
            <w:r>
              <w:rPr>
                <w:rFonts w:hint="eastAsia" w:ascii="宋体" w:hAnsi="宋体" w:eastAsia="宋体" w:cs="宋体"/>
                <w:kern w:val="0"/>
                <w:szCs w:val="24"/>
                <w:lang w:bidi="ar"/>
              </w:rPr>
              <w:t xml:space="preserve">）。 </w:t>
            </w:r>
          </w:p>
          <w:p>
            <w:pPr>
              <w:widowControl/>
              <w:ind w:firstLine="480"/>
              <w:jc w:val="left"/>
            </w:pPr>
            <w:r>
              <w:rPr>
                <w:rFonts w:hint="eastAsia" w:ascii="宋体" w:hAnsi="宋体" w:eastAsia="宋体" w:cs="宋体"/>
                <w:kern w:val="0"/>
                <w:szCs w:val="24"/>
                <w:lang w:bidi="ar"/>
              </w:rPr>
              <w:t>本项目噪声衰减除几何发散衰减后的其他衰减（包括空气吸收衰减、屏障物和地面效应引起的衰减、其他附加衰减）取值的因素很多，项目噪声源均在房屋内，本报告主要考虑墙壁隔声和距离衰减影响，墙体隔声衰减值取</w:t>
            </w:r>
            <w:r>
              <w:rPr>
                <w:rFonts w:eastAsia="宋体" w:cs="Times New Roman"/>
                <w:kern w:val="0"/>
                <w:szCs w:val="24"/>
                <w:lang w:bidi="ar"/>
              </w:rPr>
              <w:t>15dB(A)</w:t>
            </w:r>
            <w:r>
              <w:rPr>
                <w:rFonts w:hint="eastAsia" w:ascii="宋体" w:hAnsi="宋体" w:eastAsia="宋体" w:cs="宋体"/>
                <w:kern w:val="0"/>
                <w:szCs w:val="24"/>
                <w:lang w:bidi="ar"/>
              </w:rPr>
              <w:t xml:space="preserve">。 </w:t>
            </w:r>
          </w:p>
          <w:p>
            <w:pPr>
              <w:widowControl/>
              <w:ind w:firstLine="482"/>
              <w:jc w:val="left"/>
            </w:pPr>
            <w:r>
              <w:rPr>
                <w:rFonts w:eastAsia="宋体" w:cs="Times New Roman"/>
                <w:b/>
                <w:kern w:val="0"/>
                <w:szCs w:val="24"/>
                <w:lang w:bidi="ar"/>
              </w:rPr>
              <w:t>2</w:t>
            </w:r>
            <w:r>
              <w:rPr>
                <w:rFonts w:hint="eastAsia" w:ascii="宋体" w:hAnsi="宋体" w:eastAsia="宋体" w:cs="宋体"/>
                <w:b/>
                <w:kern w:val="0"/>
                <w:szCs w:val="24"/>
                <w:lang w:bidi="ar"/>
              </w:rPr>
              <w:t xml:space="preserve">）噪声影响预测及评价 </w:t>
            </w:r>
          </w:p>
          <w:p>
            <w:pPr>
              <w:widowControl/>
              <w:ind w:firstLine="480"/>
              <w:jc w:val="left"/>
            </w:pPr>
            <w:r>
              <w:rPr>
                <w:rFonts w:hint="eastAsia" w:ascii="宋体" w:hAnsi="宋体" w:eastAsia="宋体" w:cs="宋体"/>
                <w:kern w:val="0"/>
                <w:szCs w:val="24"/>
                <w:lang w:bidi="ar"/>
              </w:rPr>
              <w:t xml:space="preserve">项目噪声源均在房屋内，本次环评按照全部设备同时使用，噪声源位于项目北面，由此预测项目厂界及其对敏感点噪声情况。 </w:t>
            </w:r>
          </w:p>
          <w:p>
            <w:pPr>
              <w:widowControl/>
              <w:ind w:firstLine="480"/>
              <w:jc w:val="left"/>
              <w:rPr>
                <w:bCs/>
              </w:rPr>
            </w:pPr>
            <w:r>
              <w:rPr>
                <w:rFonts w:hint="eastAsia" w:ascii="宋体" w:hAnsi="宋体" w:eastAsia="宋体" w:cs="宋体"/>
                <w:bCs/>
                <w:kern w:val="0"/>
                <w:szCs w:val="24"/>
                <w:lang w:bidi="ar"/>
              </w:rPr>
              <w:t xml:space="preserve">设备同时运转时的噪声预测 </w:t>
            </w:r>
          </w:p>
          <w:p>
            <w:pPr>
              <w:widowControl/>
              <w:ind w:firstLine="480"/>
              <w:jc w:val="left"/>
              <w:rPr>
                <w:bCs/>
              </w:rPr>
            </w:pPr>
            <w:r>
              <w:rPr>
                <w:rFonts w:hint="eastAsia" w:ascii="宋体" w:hAnsi="宋体" w:eastAsia="宋体" w:cs="宋体"/>
                <w:bCs/>
                <w:kern w:val="0"/>
                <w:szCs w:val="24"/>
                <w:lang w:bidi="ar"/>
              </w:rPr>
              <w:t xml:space="preserve">预测值见表 </w:t>
            </w:r>
            <w:r>
              <w:rPr>
                <w:rFonts w:eastAsia="宋体" w:cs="Times New Roman"/>
                <w:bCs/>
                <w:kern w:val="0"/>
                <w:szCs w:val="24"/>
                <w:lang w:bidi="ar"/>
              </w:rPr>
              <w:t>4-</w:t>
            </w:r>
            <w:r>
              <w:rPr>
                <w:rFonts w:hint="eastAsia" w:eastAsia="宋体" w:cs="Times New Roman"/>
                <w:bCs/>
                <w:kern w:val="0"/>
                <w:szCs w:val="24"/>
                <w:lang w:bidi="ar"/>
              </w:rPr>
              <w:t>9</w:t>
            </w:r>
            <w:r>
              <w:rPr>
                <w:rFonts w:hint="eastAsia" w:ascii="宋体" w:hAnsi="宋体" w:eastAsia="宋体" w:cs="宋体"/>
                <w:bCs/>
                <w:kern w:val="0"/>
                <w:szCs w:val="24"/>
                <w:lang w:bidi="ar"/>
              </w:rPr>
              <w:t>。</w:t>
            </w:r>
          </w:p>
          <w:p>
            <w:pPr>
              <w:widowControl/>
              <w:ind w:firstLine="0" w:firstLineChars="0"/>
              <w:jc w:val="center"/>
              <w:rPr>
                <w:kern w:val="0"/>
              </w:rPr>
            </w:pPr>
            <w:r>
              <w:rPr>
                <w:b/>
                <w:bCs/>
                <w:kern w:val="0"/>
              </w:rPr>
              <w:t>表</w:t>
            </w:r>
            <w:r>
              <w:rPr>
                <w:rFonts w:hint="eastAsia"/>
                <w:b/>
                <w:bCs/>
                <w:kern w:val="0"/>
              </w:rPr>
              <w:t>4-9</w:t>
            </w:r>
            <w:r>
              <w:rPr>
                <w:b/>
                <w:bCs/>
                <w:kern w:val="0"/>
              </w:rPr>
              <w:t xml:space="preserve">  </w:t>
            </w:r>
            <w:r>
              <w:rPr>
                <w:rFonts w:hint="eastAsia" w:ascii="宋体" w:hAnsi="宋体" w:eastAsia="宋体" w:cs="宋体"/>
                <w:b/>
                <w:bCs/>
                <w:kern w:val="0"/>
                <w:szCs w:val="24"/>
                <w:lang w:bidi="ar"/>
              </w:rPr>
              <w:t>设备同时运转的噪声预测值 单位：</w:t>
            </w:r>
            <w:r>
              <w:rPr>
                <w:rFonts w:eastAsia="宋体" w:cs="Times New Roman"/>
                <w:b/>
                <w:bCs/>
                <w:kern w:val="0"/>
                <w:szCs w:val="24"/>
                <w:lang w:bidi="ar"/>
              </w:rPr>
              <w:t>dB</w:t>
            </w:r>
            <w:r>
              <w:rPr>
                <w:rFonts w:hint="eastAsia" w:ascii="宋体" w:hAnsi="宋体" w:eastAsia="宋体" w:cs="宋体"/>
                <w:b/>
                <w:bCs/>
                <w:kern w:val="0"/>
                <w:szCs w:val="24"/>
                <w:lang w:bidi="ar"/>
              </w:rPr>
              <w:t>（</w:t>
            </w:r>
            <w:r>
              <w:rPr>
                <w:rFonts w:eastAsia="宋体" w:cs="Times New Roman"/>
                <w:b/>
                <w:bCs/>
                <w:kern w:val="0"/>
                <w:szCs w:val="24"/>
                <w:lang w:bidi="ar"/>
              </w:rPr>
              <w:t>A</w:t>
            </w:r>
            <w:r>
              <w:rPr>
                <w:rFonts w:hint="eastAsia" w:ascii="宋体" w:hAnsi="宋体" w:eastAsia="宋体" w:cs="宋体"/>
                <w:b/>
                <w:bCs/>
                <w:kern w:val="0"/>
                <w:szCs w:val="24"/>
                <w:lang w:bidi="ar"/>
              </w:rPr>
              <w:t>）</w:t>
            </w:r>
          </w:p>
          <w:tbl>
            <w:tblPr>
              <w:tblStyle w:val="36"/>
              <w:tblW w:w="7626"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1247"/>
              <w:gridCol w:w="1132"/>
              <w:gridCol w:w="1817"/>
              <w:gridCol w:w="1510"/>
              <w:gridCol w:w="1245"/>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tcBorders>
                    <w:right w:val="single" w:color="000000" w:sz="8" w:space="0"/>
                    <w:tl2br w:val="nil"/>
                    <w:tr2bl w:val="nil"/>
                  </w:tcBorders>
                  <w:vAlign w:val="center"/>
                </w:tcPr>
                <w:p>
                  <w:pPr>
                    <w:pStyle w:val="146"/>
                    <w:spacing w:line="0" w:lineRule="atLeast"/>
                    <w:rPr>
                      <w:szCs w:val="21"/>
                    </w:rPr>
                  </w:pPr>
                  <w:r>
                    <w:rPr>
                      <w:rFonts w:hint="eastAsia"/>
                      <w:szCs w:val="21"/>
                    </w:rPr>
                    <w:t>序号</w:t>
                  </w:r>
                </w:p>
              </w:tc>
              <w:tc>
                <w:tcPr>
                  <w:tcW w:w="1247" w:type="dxa"/>
                  <w:tcBorders>
                    <w:left w:val="single" w:color="000000" w:sz="8" w:space="0"/>
                    <w:right w:val="single" w:color="000000" w:sz="8" w:space="0"/>
                    <w:tl2br w:val="nil"/>
                    <w:tr2bl w:val="nil"/>
                  </w:tcBorders>
                  <w:vAlign w:val="center"/>
                </w:tcPr>
                <w:p>
                  <w:pPr>
                    <w:pStyle w:val="146"/>
                    <w:spacing w:line="0" w:lineRule="atLeast"/>
                    <w:rPr>
                      <w:szCs w:val="21"/>
                    </w:rPr>
                  </w:pPr>
                  <w:r>
                    <w:rPr>
                      <w:rFonts w:hint="eastAsia"/>
                      <w:szCs w:val="21"/>
                    </w:rPr>
                    <w:t>设备名称</w:t>
                  </w:r>
                </w:p>
              </w:tc>
              <w:tc>
                <w:tcPr>
                  <w:tcW w:w="1132" w:type="dxa"/>
                  <w:tcBorders>
                    <w:left w:val="single" w:color="000000" w:sz="8" w:space="0"/>
                    <w:tl2br w:val="nil"/>
                    <w:tr2bl w:val="nil"/>
                  </w:tcBorders>
                  <w:vAlign w:val="center"/>
                </w:tcPr>
                <w:p>
                  <w:pPr>
                    <w:pStyle w:val="146"/>
                    <w:spacing w:line="0" w:lineRule="atLeast"/>
                    <w:rPr>
                      <w:szCs w:val="21"/>
                    </w:rPr>
                  </w:pPr>
                  <w:r>
                    <w:rPr>
                      <w:rFonts w:hint="eastAsia"/>
                      <w:szCs w:val="21"/>
                    </w:rPr>
                    <w:t>噪声源强</w:t>
                  </w:r>
                </w:p>
              </w:tc>
              <w:tc>
                <w:tcPr>
                  <w:tcW w:w="1817" w:type="dxa"/>
                  <w:tcBorders>
                    <w:right w:val="single" w:color="000000" w:sz="8" w:space="0"/>
                    <w:tl2br w:val="nil"/>
                    <w:tr2bl w:val="nil"/>
                  </w:tcBorders>
                  <w:vAlign w:val="center"/>
                </w:tcPr>
                <w:p>
                  <w:pPr>
                    <w:pStyle w:val="146"/>
                    <w:spacing w:line="0" w:lineRule="atLeast"/>
                    <w:rPr>
                      <w:szCs w:val="21"/>
                    </w:rPr>
                  </w:pPr>
                  <w:r>
                    <w:rPr>
                      <w:rFonts w:hint="eastAsia"/>
                      <w:szCs w:val="21"/>
                    </w:rPr>
                    <w:t>降噪措施</w:t>
                  </w:r>
                </w:p>
              </w:tc>
              <w:tc>
                <w:tcPr>
                  <w:tcW w:w="1510" w:type="dxa"/>
                  <w:tcBorders>
                    <w:left w:val="single" w:color="000000" w:sz="8" w:space="0"/>
                    <w:tl2br w:val="nil"/>
                    <w:tr2bl w:val="nil"/>
                  </w:tcBorders>
                  <w:vAlign w:val="center"/>
                </w:tcPr>
                <w:p>
                  <w:pPr>
                    <w:pStyle w:val="146"/>
                    <w:spacing w:line="0" w:lineRule="atLeast"/>
                    <w:rPr>
                      <w:szCs w:val="21"/>
                    </w:rPr>
                  </w:pPr>
                  <w:r>
                    <w:rPr>
                      <w:rFonts w:hint="eastAsia"/>
                      <w:szCs w:val="21"/>
                    </w:rPr>
                    <w:t>噪声源强</w:t>
                  </w:r>
                </w:p>
              </w:tc>
              <w:tc>
                <w:tcPr>
                  <w:tcW w:w="1245" w:type="dxa"/>
                  <w:tcBorders>
                    <w:right w:val="single" w:color="000000" w:sz="8" w:space="0"/>
                    <w:tl2br w:val="nil"/>
                    <w:tr2bl w:val="nil"/>
                  </w:tcBorders>
                  <w:vAlign w:val="center"/>
                </w:tcPr>
                <w:p>
                  <w:pPr>
                    <w:pStyle w:val="146"/>
                    <w:spacing w:line="0" w:lineRule="atLeast"/>
                    <w:rPr>
                      <w:szCs w:val="21"/>
                    </w:rPr>
                  </w:pPr>
                  <w:r>
                    <w:rPr>
                      <w:rFonts w:hint="eastAsia"/>
                      <w:szCs w:val="21"/>
                    </w:rPr>
                    <w:t>叠加噪声源强</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tcBorders>
                    <w:right w:val="single" w:color="000000" w:sz="8" w:space="0"/>
                    <w:tl2br w:val="nil"/>
                    <w:tr2bl w:val="nil"/>
                  </w:tcBorders>
                  <w:vAlign w:val="center"/>
                </w:tcPr>
                <w:p>
                  <w:pPr>
                    <w:pStyle w:val="146"/>
                    <w:spacing w:line="0" w:lineRule="atLeast"/>
                    <w:rPr>
                      <w:szCs w:val="21"/>
                    </w:rPr>
                  </w:pPr>
                  <w:r>
                    <w:rPr>
                      <w:rFonts w:hint="eastAsia"/>
                      <w:szCs w:val="21"/>
                    </w:rPr>
                    <w:t>1</w:t>
                  </w:r>
                </w:p>
              </w:tc>
              <w:tc>
                <w:tcPr>
                  <w:tcW w:w="1247" w:type="dxa"/>
                  <w:tcBorders>
                    <w:left w:val="single" w:color="000000" w:sz="8" w:space="0"/>
                    <w:right w:val="single" w:color="000000" w:sz="8" w:space="0"/>
                    <w:tl2br w:val="nil"/>
                    <w:tr2bl w:val="nil"/>
                  </w:tcBorders>
                  <w:vAlign w:val="center"/>
                </w:tcPr>
                <w:p>
                  <w:pPr>
                    <w:pStyle w:val="146"/>
                    <w:spacing w:line="0" w:lineRule="atLeast"/>
                    <w:rPr>
                      <w:szCs w:val="21"/>
                    </w:rPr>
                  </w:pPr>
                  <w:r>
                    <w:rPr>
                      <w:rFonts w:hint="eastAsia"/>
                      <w:szCs w:val="21"/>
                    </w:rPr>
                    <w:t>水泵</w:t>
                  </w:r>
                </w:p>
              </w:tc>
              <w:tc>
                <w:tcPr>
                  <w:tcW w:w="1132" w:type="dxa"/>
                  <w:tcBorders>
                    <w:left w:val="single" w:color="000000" w:sz="8" w:space="0"/>
                    <w:tl2br w:val="nil"/>
                    <w:tr2bl w:val="nil"/>
                  </w:tcBorders>
                  <w:vAlign w:val="center"/>
                </w:tcPr>
                <w:p>
                  <w:pPr>
                    <w:pStyle w:val="146"/>
                    <w:spacing w:line="0" w:lineRule="atLeast"/>
                    <w:rPr>
                      <w:szCs w:val="21"/>
                    </w:rPr>
                  </w:pPr>
                  <w:r>
                    <w:rPr>
                      <w:rFonts w:hint="eastAsia"/>
                      <w:szCs w:val="21"/>
                    </w:rPr>
                    <w:t>75</w:t>
                  </w:r>
                </w:p>
              </w:tc>
              <w:tc>
                <w:tcPr>
                  <w:tcW w:w="1817" w:type="dxa"/>
                  <w:vMerge w:val="restart"/>
                  <w:tcBorders>
                    <w:right w:val="single" w:color="000000" w:sz="8" w:space="0"/>
                    <w:tl2br w:val="nil"/>
                    <w:tr2bl w:val="nil"/>
                  </w:tcBorders>
                  <w:vAlign w:val="center"/>
                </w:tcPr>
                <w:p>
                  <w:pPr>
                    <w:widowControl/>
                    <w:spacing w:line="0" w:lineRule="atLeast"/>
                    <w:ind w:firstLine="0" w:firstLineChars="0"/>
                    <w:jc w:val="left"/>
                    <w:rPr>
                      <w:sz w:val="21"/>
                      <w:szCs w:val="21"/>
                    </w:rPr>
                  </w:pPr>
                  <w:r>
                    <w:rPr>
                      <w:rFonts w:hint="eastAsia" w:ascii="宋体" w:hAnsi="宋体" w:eastAsia="宋体" w:cs="宋体"/>
                      <w:kern w:val="0"/>
                      <w:sz w:val="20"/>
                      <w:szCs w:val="20"/>
                      <w:lang w:bidi="ar"/>
                    </w:rPr>
                    <w:t>安装减震垫，房屋隔声、合理布局</w:t>
                  </w:r>
                </w:p>
              </w:tc>
              <w:tc>
                <w:tcPr>
                  <w:tcW w:w="1510" w:type="dxa"/>
                  <w:tcBorders>
                    <w:left w:val="single" w:color="000000" w:sz="8" w:space="0"/>
                    <w:tl2br w:val="nil"/>
                    <w:tr2bl w:val="nil"/>
                  </w:tcBorders>
                  <w:vAlign w:val="center"/>
                </w:tcPr>
                <w:p>
                  <w:pPr>
                    <w:pStyle w:val="146"/>
                    <w:spacing w:line="0" w:lineRule="atLeast"/>
                    <w:rPr>
                      <w:szCs w:val="21"/>
                    </w:rPr>
                  </w:pPr>
                  <w:r>
                    <w:rPr>
                      <w:rFonts w:hint="eastAsia"/>
                      <w:szCs w:val="21"/>
                    </w:rPr>
                    <w:t>65</w:t>
                  </w:r>
                </w:p>
              </w:tc>
              <w:tc>
                <w:tcPr>
                  <w:tcW w:w="1245" w:type="dxa"/>
                  <w:vMerge w:val="restart"/>
                  <w:tcBorders>
                    <w:right w:val="single" w:color="000000" w:sz="8" w:space="0"/>
                    <w:tl2br w:val="nil"/>
                    <w:tr2bl w:val="nil"/>
                  </w:tcBorders>
                  <w:vAlign w:val="center"/>
                </w:tcPr>
                <w:p>
                  <w:pPr>
                    <w:pStyle w:val="146"/>
                    <w:spacing w:line="0" w:lineRule="atLeast"/>
                    <w:rPr>
                      <w:szCs w:val="21"/>
                    </w:rPr>
                  </w:pPr>
                  <w:r>
                    <w:rPr>
                      <w:rFonts w:hint="eastAsia"/>
                      <w:szCs w:val="21"/>
                    </w:rPr>
                    <w:t>75.4</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tcBorders>
                    <w:right w:val="single" w:color="000000" w:sz="8" w:space="0"/>
                    <w:tl2br w:val="nil"/>
                    <w:tr2bl w:val="nil"/>
                  </w:tcBorders>
                  <w:vAlign w:val="center"/>
                </w:tcPr>
                <w:p>
                  <w:pPr>
                    <w:pStyle w:val="146"/>
                    <w:spacing w:line="0" w:lineRule="atLeast"/>
                    <w:rPr>
                      <w:szCs w:val="21"/>
                    </w:rPr>
                  </w:pPr>
                  <w:r>
                    <w:rPr>
                      <w:rFonts w:hint="eastAsia"/>
                      <w:szCs w:val="21"/>
                    </w:rPr>
                    <w:t>2</w:t>
                  </w:r>
                </w:p>
              </w:tc>
              <w:tc>
                <w:tcPr>
                  <w:tcW w:w="1247" w:type="dxa"/>
                  <w:tcBorders>
                    <w:left w:val="single" w:color="000000" w:sz="8" w:space="0"/>
                    <w:right w:val="single" w:color="000000" w:sz="8" w:space="0"/>
                    <w:tl2br w:val="nil"/>
                    <w:tr2bl w:val="nil"/>
                  </w:tcBorders>
                  <w:vAlign w:val="center"/>
                </w:tcPr>
                <w:p>
                  <w:pPr>
                    <w:pStyle w:val="146"/>
                    <w:spacing w:line="0" w:lineRule="atLeast"/>
                    <w:rPr>
                      <w:szCs w:val="21"/>
                    </w:rPr>
                  </w:pPr>
                  <w:r>
                    <w:rPr>
                      <w:rFonts w:hint="eastAsia"/>
                      <w:szCs w:val="21"/>
                    </w:rPr>
                    <w:t>风机</w:t>
                  </w:r>
                </w:p>
              </w:tc>
              <w:tc>
                <w:tcPr>
                  <w:tcW w:w="1132" w:type="dxa"/>
                  <w:tcBorders>
                    <w:left w:val="single" w:color="000000" w:sz="8" w:space="0"/>
                    <w:tl2br w:val="nil"/>
                    <w:tr2bl w:val="nil"/>
                  </w:tcBorders>
                  <w:vAlign w:val="center"/>
                </w:tcPr>
                <w:p>
                  <w:pPr>
                    <w:pStyle w:val="146"/>
                    <w:spacing w:line="0" w:lineRule="atLeast"/>
                    <w:rPr>
                      <w:szCs w:val="21"/>
                    </w:rPr>
                  </w:pPr>
                  <w:r>
                    <w:rPr>
                      <w:rFonts w:hint="eastAsia"/>
                      <w:szCs w:val="21"/>
                    </w:rPr>
                    <w:t>80</w:t>
                  </w:r>
                </w:p>
              </w:tc>
              <w:tc>
                <w:tcPr>
                  <w:tcW w:w="1817" w:type="dxa"/>
                  <w:vMerge w:val="continue"/>
                  <w:tcBorders>
                    <w:right w:val="single" w:color="000000" w:sz="8" w:space="0"/>
                    <w:tl2br w:val="nil"/>
                    <w:tr2bl w:val="nil"/>
                  </w:tcBorders>
                  <w:vAlign w:val="center"/>
                </w:tcPr>
                <w:p>
                  <w:pPr>
                    <w:widowControl/>
                    <w:spacing w:line="0" w:lineRule="atLeast"/>
                    <w:ind w:firstLine="0" w:firstLineChars="0"/>
                    <w:jc w:val="left"/>
                    <w:rPr>
                      <w:sz w:val="21"/>
                      <w:szCs w:val="21"/>
                    </w:rPr>
                  </w:pPr>
                </w:p>
              </w:tc>
              <w:tc>
                <w:tcPr>
                  <w:tcW w:w="1510" w:type="dxa"/>
                  <w:tcBorders>
                    <w:left w:val="single" w:color="000000" w:sz="8" w:space="0"/>
                    <w:tl2br w:val="nil"/>
                    <w:tr2bl w:val="nil"/>
                  </w:tcBorders>
                  <w:vAlign w:val="center"/>
                </w:tcPr>
                <w:p>
                  <w:pPr>
                    <w:pStyle w:val="146"/>
                    <w:spacing w:line="0" w:lineRule="atLeast"/>
                    <w:rPr>
                      <w:szCs w:val="21"/>
                    </w:rPr>
                  </w:pPr>
                  <w:r>
                    <w:rPr>
                      <w:rFonts w:hint="eastAsia"/>
                      <w:szCs w:val="21"/>
                    </w:rPr>
                    <w:t>75</w:t>
                  </w:r>
                </w:p>
              </w:tc>
              <w:tc>
                <w:tcPr>
                  <w:tcW w:w="1245" w:type="dxa"/>
                  <w:vMerge w:val="continue"/>
                  <w:tcBorders>
                    <w:right w:val="single" w:color="000000" w:sz="8" w:space="0"/>
                    <w:tl2br w:val="nil"/>
                    <w:tr2bl w:val="nil"/>
                  </w:tcBorders>
                  <w:vAlign w:val="center"/>
                </w:tcPr>
                <w:p>
                  <w:pPr>
                    <w:pStyle w:val="146"/>
                    <w:spacing w:line="0" w:lineRule="atLeast"/>
                    <w:rPr>
                      <w:szCs w:val="21"/>
                    </w:rPr>
                  </w:pPr>
                </w:p>
              </w:tc>
            </w:tr>
          </w:tbl>
          <w:p>
            <w:pPr>
              <w:widowControl/>
              <w:ind w:firstLine="482"/>
              <w:jc w:val="left"/>
            </w:pPr>
            <w:r>
              <w:rPr>
                <w:rFonts w:hint="eastAsia" w:ascii="宋体" w:hAnsi="宋体" w:eastAsia="宋体" w:cs="宋体"/>
                <w:b/>
                <w:kern w:val="0"/>
                <w:szCs w:val="24"/>
                <w:lang w:bidi="ar"/>
              </w:rPr>
              <w:t>（</w:t>
            </w:r>
            <w:r>
              <w:rPr>
                <w:rFonts w:eastAsia="宋体" w:cs="Times New Roman"/>
                <w:b/>
                <w:kern w:val="0"/>
                <w:szCs w:val="24"/>
                <w:lang w:bidi="ar"/>
              </w:rPr>
              <w:t>2</w:t>
            </w:r>
            <w:r>
              <w:rPr>
                <w:rFonts w:hint="eastAsia" w:ascii="宋体" w:hAnsi="宋体" w:eastAsia="宋体" w:cs="宋体"/>
                <w:b/>
                <w:kern w:val="0"/>
                <w:szCs w:val="24"/>
                <w:lang w:bidi="ar"/>
              </w:rPr>
              <w:t xml:space="preserve">）厂界噪声贡献值预测 </w:t>
            </w:r>
          </w:p>
          <w:p>
            <w:pPr>
              <w:widowControl/>
              <w:ind w:firstLine="480"/>
              <w:jc w:val="left"/>
            </w:pPr>
            <w:r>
              <w:rPr>
                <w:rFonts w:hint="eastAsia" w:ascii="宋体" w:hAnsi="宋体" w:eastAsia="宋体" w:cs="宋体"/>
                <w:kern w:val="0"/>
                <w:szCs w:val="24"/>
                <w:lang w:bidi="ar"/>
              </w:rPr>
              <w:t>根据项目平面布局，各噪声源与厂界距离及厂界噪声预测贡献值见表</w:t>
            </w:r>
            <w:r>
              <w:rPr>
                <w:rFonts w:eastAsia="宋体" w:cs="Times New Roman"/>
                <w:kern w:val="0"/>
                <w:szCs w:val="24"/>
                <w:lang w:bidi="ar"/>
              </w:rPr>
              <w:t>4-</w:t>
            </w:r>
            <w:r>
              <w:rPr>
                <w:rFonts w:hint="eastAsia" w:eastAsia="宋体" w:cs="Times New Roman"/>
                <w:kern w:val="0"/>
                <w:szCs w:val="24"/>
                <w:lang w:bidi="ar"/>
              </w:rPr>
              <w:t>10</w:t>
            </w:r>
            <w:r>
              <w:rPr>
                <w:rFonts w:hint="eastAsia" w:ascii="宋体" w:hAnsi="宋体" w:eastAsia="宋体" w:cs="宋体"/>
                <w:kern w:val="0"/>
                <w:szCs w:val="24"/>
                <w:lang w:bidi="ar"/>
              </w:rPr>
              <w:t xml:space="preserve">。 </w:t>
            </w:r>
          </w:p>
          <w:p>
            <w:pPr>
              <w:widowControl/>
              <w:ind w:firstLine="0" w:firstLineChars="0"/>
              <w:jc w:val="center"/>
              <w:rPr>
                <w:b/>
                <w:bCs/>
                <w:kern w:val="0"/>
              </w:rPr>
            </w:pPr>
            <w:r>
              <w:rPr>
                <w:b/>
                <w:bCs/>
                <w:kern w:val="0"/>
              </w:rPr>
              <w:t>表</w:t>
            </w:r>
            <w:r>
              <w:rPr>
                <w:rFonts w:hint="eastAsia"/>
                <w:b/>
                <w:bCs/>
                <w:kern w:val="0"/>
              </w:rPr>
              <w:t>4-10</w:t>
            </w:r>
            <w:r>
              <w:rPr>
                <w:b/>
                <w:bCs/>
                <w:kern w:val="0"/>
              </w:rPr>
              <w:t xml:space="preserve">  </w:t>
            </w:r>
            <w:r>
              <w:rPr>
                <w:rFonts w:hint="eastAsia" w:ascii="宋体" w:hAnsi="宋体" w:eastAsia="宋体" w:cs="宋体"/>
                <w:b/>
                <w:bCs/>
                <w:kern w:val="0"/>
                <w:szCs w:val="24"/>
                <w:lang w:bidi="ar"/>
              </w:rPr>
              <w:t>噪声源与厂界距离一览表</w:t>
            </w:r>
          </w:p>
          <w:tbl>
            <w:tblPr>
              <w:tblStyle w:val="36"/>
              <w:tblW w:w="7592"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455"/>
              <w:gridCol w:w="1409"/>
              <w:gridCol w:w="1973"/>
              <w:gridCol w:w="1691"/>
              <w:gridCol w:w="1064"/>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55" w:type="dxa"/>
                  <w:tcBorders>
                    <w:right w:val="single" w:color="000000" w:sz="8" w:space="0"/>
                    <w:tl2br w:val="nil"/>
                    <w:tr2bl w:val="nil"/>
                  </w:tcBorders>
                  <w:vAlign w:val="center"/>
                </w:tcPr>
                <w:p>
                  <w:pPr>
                    <w:pStyle w:val="146"/>
                    <w:spacing w:line="0" w:lineRule="atLeast"/>
                    <w:rPr>
                      <w:szCs w:val="21"/>
                    </w:rPr>
                  </w:pPr>
                  <w:r>
                    <w:rPr>
                      <w:rFonts w:hint="eastAsia"/>
                      <w:szCs w:val="21"/>
                    </w:rPr>
                    <w:t>项目名称</w:t>
                  </w:r>
                </w:p>
              </w:tc>
              <w:tc>
                <w:tcPr>
                  <w:tcW w:w="1409" w:type="dxa"/>
                  <w:tcBorders>
                    <w:left w:val="single" w:color="000000" w:sz="8" w:space="0"/>
                    <w:tl2br w:val="nil"/>
                    <w:tr2bl w:val="nil"/>
                  </w:tcBorders>
                  <w:vAlign w:val="center"/>
                </w:tcPr>
                <w:p>
                  <w:pPr>
                    <w:pStyle w:val="146"/>
                    <w:spacing w:line="0" w:lineRule="atLeast"/>
                    <w:rPr>
                      <w:szCs w:val="21"/>
                    </w:rPr>
                  </w:pPr>
                  <w:r>
                    <w:rPr>
                      <w:rFonts w:hint="eastAsia"/>
                      <w:szCs w:val="21"/>
                    </w:rPr>
                    <w:t>东侧厂界</w:t>
                  </w:r>
                </w:p>
              </w:tc>
              <w:tc>
                <w:tcPr>
                  <w:tcW w:w="1973" w:type="dxa"/>
                  <w:tcBorders>
                    <w:right w:val="single" w:color="000000" w:sz="8" w:space="0"/>
                    <w:tl2br w:val="nil"/>
                    <w:tr2bl w:val="nil"/>
                  </w:tcBorders>
                  <w:vAlign w:val="center"/>
                </w:tcPr>
                <w:p>
                  <w:pPr>
                    <w:pStyle w:val="146"/>
                    <w:spacing w:line="0" w:lineRule="atLeast"/>
                    <w:rPr>
                      <w:szCs w:val="21"/>
                    </w:rPr>
                  </w:pPr>
                  <w:r>
                    <w:rPr>
                      <w:rFonts w:hint="eastAsia"/>
                      <w:szCs w:val="21"/>
                    </w:rPr>
                    <w:t>西侧厂界</w:t>
                  </w:r>
                </w:p>
              </w:tc>
              <w:tc>
                <w:tcPr>
                  <w:tcW w:w="1691" w:type="dxa"/>
                  <w:tcBorders>
                    <w:left w:val="single" w:color="000000" w:sz="8" w:space="0"/>
                    <w:tl2br w:val="nil"/>
                    <w:tr2bl w:val="nil"/>
                  </w:tcBorders>
                  <w:vAlign w:val="center"/>
                </w:tcPr>
                <w:p>
                  <w:pPr>
                    <w:pStyle w:val="146"/>
                    <w:spacing w:line="0" w:lineRule="atLeast"/>
                    <w:rPr>
                      <w:szCs w:val="21"/>
                    </w:rPr>
                  </w:pPr>
                  <w:r>
                    <w:rPr>
                      <w:rFonts w:hint="eastAsia"/>
                      <w:szCs w:val="21"/>
                    </w:rPr>
                    <w:t>南侧厂界</w:t>
                  </w:r>
                </w:p>
              </w:tc>
              <w:tc>
                <w:tcPr>
                  <w:tcW w:w="1064" w:type="dxa"/>
                  <w:tcBorders>
                    <w:right w:val="single" w:color="000000" w:sz="8" w:space="0"/>
                    <w:tl2br w:val="nil"/>
                    <w:tr2bl w:val="nil"/>
                  </w:tcBorders>
                  <w:vAlign w:val="center"/>
                </w:tcPr>
                <w:p>
                  <w:pPr>
                    <w:pStyle w:val="146"/>
                    <w:spacing w:line="0" w:lineRule="atLeast"/>
                    <w:rPr>
                      <w:szCs w:val="21"/>
                    </w:rPr>
                  </w:pPr>
                  <w:r>
                    <w:rPr>
                      <w:rFonts w:hint="eastAsia"/>
                      <w:szCs w:val="21"/>
                    </w:rPr>
                    <w:t>北侧厂界</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55" w:type="dxa"/>
                  <w:tcBorders>
                    <w:right w:val="single" w:color="000000" w:sz="8" w:space="0"/>
                    <w:tl2br w:val="nil"/>
                    <w:tr2bl w:val="nil"/>
                  </w:tcBorders>
                  <w:vAlign w:val="center"/>
                </w:tcPr>
                <w:p>
                  <w:pPr>
                    <w:pStyle w:val="146"/>
                    <w:spacing w:line="0" w:lineRule="atLeast"/>
                    <w:rPr>
                      <w:szCs w:val="21"/>
                    </w:rPr>
                  </w:pPr>
                  <w:r>
                    <w:rPr>
                      <w:rFonts w:hint="eastAsia"/>
                      <w:szCs w:val="21"/>
                    </w:rPr>
                    <w:t>距离（m）</w:t>
                  </w:r>
                </w:p>
              </w:tc>
              <w:tc>
                <w:tcPr>
                  <w:tcW w:w="1409" w:type="dxa"/>
                  <w:tcBorders>
                    <w:left w:val="single" w:color="000000" w:sz="8" w:space="0"/>
                    <w:tl2br w:val="nil"/>
                    <w:tr2bl w:val="nil"/>
                  </w:tcBorders>
                  <w:vAlign w:val="center"/>
                </w:tcPr>
                <w:p>
                  <w:pPr>
                    <w:pStyle w:val="146"/>
                    <w:spacing w:line="0" w:lineRule="atLeast"/>
                    <w:rPr>
                      <w:szCs w:val="21"/>
                    </w:rPr>
                  </w:pPr>
                  <w:r>
                    <w:rPr>
                      <w:rFonts w:hint="eastAsia"/>
                      <w:szCs w:val="21"/>
                    </w:rPr>
                    <w:t>95</w:t>
                  </w:r>
                </w:p>
              </w:tc>
              <w:tc>
                <w:tcPr>
                  <w:tcW w:w="1973" w:type="dxa"/>
                  <w:tcBorders>
                    <w:right w:val="single" w:color="000000" w:sz="8" w:space="0"/>
                    <w:tl2br w:val="nil"/>
                    <w:tr2bl w:val="nil"/>
                  </w:tcBorders>
                  <w:vAlign w:val="center"/>
                </w:tcPr>
                <w:p>
                  <w:pPr>
                    <w:widowControl/>
                    <w:spacing w:line="0" w:lineRule="atLeast"/>
                    <w:ind w:firstLine="0" w:firstLineChars="0"/>
                    <w:jc w:val="center"/>
                    <w:rPr>
                      <w:sz w:val="21"/>
                      <w:szCs w:val="21"/>
                    </w:rPr>
                  </w:pPr>
                  <w:r>
                    <w:rPr>
                      <w:rFonts w:hint="eastAsia"/>
                      <w:sz w:val="21"/>
                      <w:szCs w:val="21"/>
                    </w:rPr>
                    <w:t>38</w:t>
                  </w:r>
                </w:p>
              </w:tc>
              <w:tc>
                <w:tcPr>
                  <w:tcW w:w="1691" w:type="dxa"/>
                  <w:tcBorders>
                    <w:left w:val="single" w:color="000000" w:sz="8" w:space="0"/>
                    <w:tl2br w:val="nil"/>
                    <w:tr2bl w:val="nil"/>
                  </w:tcBorders>
                  <w:vAlign w:val="center"/>
                </w:tcPr>
                <w:p>
                  <w:pPr>
                    <w:pStyle w:val="146"/>
                    <w:spacing w:line="0" w:lineRule="atLeast"/>
                    <w:rPr>
                      <w:szCs w:val="21"/>
                    </w:rPr>
                  </w:pPr>
                  <w:r>
                    <w:rPr>
                      <w:rFonts w:hint="eastAsia"/>
                      <w:szCs w:val="21"/>
                    </w:rPr>
                    <w:t>67</w:t>
                  </w:r>
                </w:p>
              </w:tc>
              <w:tc>
                <w:tcPr>
                  <w:tcW w:w="1064" w:type="dxa"/>
                  <w:tcBorders>
                    <w:right w:val="single" w:color="000000" w:sz="8" w:space="0"/>
                    <w:tl2br w:val="nil"/>
                    <w:tr2bl w:val="nil"/>
                  </w:tcBorders>
                  <w:vAlign w:val="center"/>
                </w:tcPr>
                <w:p>
                  <w:pPr>
                    <w:pStyle w:val="146"/>
                    <w:spacing w:line="0" w:lineRule="atLeast"/>
                    <w:rPr>
                      <w:szCs w:val="21"/>
                    </w:rPr>
                  </w:pPr>
                  <w:r>
                    <w:rPr>
                      <w:rFonts w:hint="eastAsia"/>
                      <w:szCs w:val="21"/>
                    </w:rPr>
                    <w:t>22</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55" w:type="dxa"/>
                  <w:tcBorders>
                    <w:right w:val="single" w:color="000000" w:sz="8" w:space="0"/>
                    <w:tl2br w:val="nil"/>
                    <w:tr2bl w:val="nil"/>
                  </w:tcBorders>
                  <w:vAlign w:val="center"/>
                </w:tcPr>
                <w:p>
                  <w:pPr>
                    <w:pStyle w:val="146"/>
                    <w:spacing w:line="0" w:lineRule="atLeast"/>
                    <w:rPr>
                      <w:szCs w:val="21"/>
                    </w:rPr>
                  </w:pPr>
                  <w:r>
                    <w:rPr>
                      <w:rFonts w:hint="eastAsia"/>
                      <w:szCs w:val="21"/>
                    </w:rPr>
                    <w:t>水泵</w:t>
                  </w:r>
                  <w:r>
                    <w:rPr>
                      <w:kern w:val="0"/>
                      <w:szCs w:val="21"/>
                      <w:lang w:bidi="ar"/>
                    </w:rPr>
                    <w:t>dB</w:t>
                  </w:r>
                  <w:r>
                    <w:rPr>
                      <w:rFonts w:hint="eastAsia" w:ascii="宋体" w:hAnsi="宋体" w:cs="宋体"/>
                      <w:kern w:val="0"/>
                      <w:szCs w:val="21"/>
                      <w:lang w:bidi="ar"/>
                    </w:rPr>
                    <w:t>（</w:t>
                  </w:r>
                  <w:r>
                    <w:rPr>
                      <w:kern w:val="0"/>
                      <w:szCs w:val="21"/>
                      <w:lang w:bidi="ar"/>
                    </w:rPr>
                    <w:t>A</w:t>
                  </w:r>
                  <w:r>
                    <w:rPr>
                      <w:rFonts w:hint="eastAsia" w:ascii="宋体" w:hAnsi="宋体" w:cs="宋体"/>
                      <w:kern w:val="0"/>
                      <w:szCs w:val="21"/>
                      <w:lang w:bidi="ar"/>
                    </w:rPr>
                    <w:t>）</w:t>
                  </w:r>
                </w:p>
              </w:tc>
              <w:tc>
                <w:tcPr>
                  <w:tcW w:w="1409" w:type="dxa"/>
                  <w:tcBorders>
                    <w:left w:val="single" w:color="000000" w:sz="8" w:space="0"/>
                    <w:tl2br w:val="nil"/>
                    <w:tr2bl w:val="nil"/>
                  </w:tcBorders>
                  <w:vAlign w:val="center"/>
                </w:tcPr>
                <w:p>
                  <w:pPr>
                    <w:pStyle w:val="146"/>
                    <w:spacing w:line="0" w:lineRule="atLeast"/>
                    <w:rPr>
                      <w:szCs w:val="21"/>
                    </w:rPr>
                  </w:pPr>
                  <w:r>
                    <w:rPr>
                      <w:rFonts w:hint="eastAsia"/>
                      <w:szCs w:val="21"/>
                    </w:rPr>
                    <w:t>25.0</w:t>
                  </w:r>
                </w:p>
              </w:tc>
              <w:tc>
                <w:tcPr>
                  <w:tcW w:w="1973" w:type="dxa"/>
                  <w:tcBorders>
                    <w:right w:val="single" w:color="000000" w:sz="8" w:space="0"/>
                    <w:tl2br w:val="nil"/>
                    <w:tr2bl w:val="nil"/>
                  </w:tcBorders>
                  <w:vAlign w:val="center"/>
                </w:tcPr>
                <w:p>
                  <w:pPr>
                    <w:widowControl/>
                    <w:spacing w:line="0" w:lineRule="atLeast"/>
                    <w:ind w:firstLine="0" w:firstLineChars="0"/>
                    <w:jc w:val="center"/>
                    <w:rPr>
                      <w:sz w:val="21"/>
                      <w:szCs w:val="21"/>
                    </w:rPr>
                  </w:pPr>
                  <w:r>
                    <w:rPr>
                      <w:rFonts w:hint="eastAsia"/>
                      <w:sz w:val="21"/>
                      <w:szCs w:val="21"/>
                    </w:rPr>
                    <w:t>32.9</w:t>
                  </w:r>
                </w:p>
              </w:tc>
              <w:tc>
                <w:tcPr>
                  <w:tcW w:w="1691" w:type="dxa"/>
                  <w:tcBorders>
                    <w:left w:val="single" w:color="000000" w:sz="8" w:space="0"/>
                    <w:tl2br w:val="nil"/>
                    <w:tr2bl w:val="nil"/>
                  </w:tcBorders>
                  <w:vAlign w:val="center"/>
                </w:tcPr>
                <w:p>
                  <w:pPr>
                    <w:pStyle w:val="146"/>
                    <w:spacing w:line="0" w:lineRule="atLeast"/>
                    <w:rPr>
                      <w:szCs w:val="21"/>
                    </w:rPr>
                  </w:pPr>
                  <w:r>
                    <w:rPr>
                      <w:rFonts w:hint="eastAsia"/>
                      <w:szCs w:val="21"/>
                    </w:rPr>
                    <w:t>27.4</w:t>
                  </w:r>
                </w:p>
              </w:tc>
              <w:tc>
                <w:tcPr>
                  <w:tcW w:w="1064" w:type="dxa"/>
                  <w:tcBorders>
                    <w:right w:val="single" w:color="000000" w:sz="8" w:space="0"/>
                    <w:tl2br w:val="nil"/>
                    <w:tr2bl w:val="nil"/>
                  </w:tcBorders>
                  <w:vAlign w:val="center"/>
                </w:tcPr>
                <w:p>
                  <w:pPr>
                    <w:pStyle w:val="146"/>
                    <w:spacing w:line="0" w:lineRule="atLeast"/>
                    <w:rPr>
                      <w:szCs w:val="21"/>
                    </w:rPr>
                  </w:pPr>
                  <w:r>
                    <w:rPr>
                      <w:rFonts w:hint="eastAsia"/>
                      <w:szCs w:val="21"/>
                    </w:rPr>
                    <w:t>37.7</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227" w:hRule="atLeast"/>
                <w:jc w:val="center"/>
              </w:trPr>
              <w:tc>
                <w:tcPr>
                  <w:tcW w:w="1455" w:type="dxa"/>
                  <w:tcBorders>
                    <w:right w:val="single" w:color="000000" w:sz="8" w:space="0"/>
                    <w:tl2br w:val="nil"/>
                    <w:tr2bl w:val="nil"/>
                  </w:tcBorders>
                  <w:vAlign w:val="center"/>
                </w:tcPr>
                <w:p>
                  <w:pPr>
                    <w:pStyle w:val="146"/>
                    <w:spacing w:line="0" w:lineRule="atLeast"/>
                    <w:rPr>
                      <w:szCs w:val="21"/>
                    </w:rPr>
                  </w:pPr>
                  <w:r>
                    <w:rPr>
                      <w:rFonts w:hint="eastAsia"/>
                      <w:szCs w:val="21"/>
                    </w:rPr>
                    <w:t>距离（m）</w:t>
                  </w:r>
                </w:p>
              </w:tc>
              <w:tc>
                <w:tcPr>
                  <w:tcW w:w="1409" w:type="dxa"/>
                  <w:tcBorders>
                    <w:left w:val="single" w:color="000000" w:sz="8" w:space="0"/>
                    <w:tl2br w:val="nil"/>
                    <w:tr2bl w:val="nil"/>
                  </w:tcBorders>
                  <w:vAlign w:val="center"/>
                </w:tcPr>
                <w:p>
                  <w:pPr>
                    <w:pStyle w:val="146"/>
                    <w:spacing w:line="0" w:lineRule="atLeast"/>
                    <w:rPr>
                      <w:szCs w:val="21"/>
                    </w:rPr>
                  </w:pPr>
                  <w:r>
                    <w:rPr>
                      <w:rFonts w:hint="eastAsia"/>
                      <w:szCs w:val="21"/>
                    </w:rPr>
                    <w:t>95</w:t>
                  </w:r>
                </w:p>
              </w:tc>
              <w:tc>
                <w:tcPr>
                  <w:tcW w:w="1973" w:type="dxa"/>
                  <w:tcBorders>
                    <w:right w:val="single" w:color="000000" w:sz="8" w:space="0"/>
                    <w:tl2br w:val="nil"/>
                    <w:tr2bl w:val="nil"/>
                  </w:tcBorders>
                  <w:vAlign w:val="center"/>
                </w:tcPr>
                <w:p>
                  <w:pPr>
                    <w:widowControl/>
                    <w:spacing w:line="0" w:lineRule="atLeast"/>
                    <w:ind w:firstLine="0" w:firstLineChars="0"/>
                    <w:jc w:val="center"/>
                    <w:rPr>
                      <w:sz w:val="21"/>
                      <w:szCs w:val="21"/>
                    </w:rPr>
                  </w:pPr>
                  <w:r>
                    <w:rPr>
                      <w:rFonts w:hint="eastAsia"/>
                      <w:sz w:val="21"/>
                      <w:szCs w:val="21"/>
                    </w:rPr>
                    <w:t>38</w:t>
                  </w:r>
                </w:p>
              </w:tc>
              <w:tc>
                <w:tcPr>
                  <w:tcW w:w="1691" w:type="dxa"/>
                  <w:tcBorders>
                    <w:left w:val="single" w:color="000000" w:sz="8" w:space="0"/>
                    <w:tl2br w:val="nil"/>
                    <w:tr2bl w:val="nil"/>
                  </w:tcBorders>
                  <w:vAlign w:val="center"/>
                </w:tcPr>
                <w:p>
                  <w:pPr>
                    <w:pStyle w:val="146"/>
                    <w:spacing w:line="0" w:lineRule="atLeast"/>
                    <w:rPr>
                      <w:szCs w:val="21"/>
                    </w:rPr>
                  </w:pPr>
                  <w:r>
                    <w:rPr>
                      <w:rFonts w:hint="eastAsia"/>
                      <w:szCs w:val="21"/>
                    </w:rPr>
                    <w:t>67</w:t>
                  </w:r>
                </w:p>
              </w:tc>
              <w:tc>
                <w:tcPr>
                  <w:tcW w:w="1064" w:type="dxa"/>
                  <w:tcBorders>
                    <w:right w:val="single" w:color="000000" w:sz="8" w:space="0"/>
                    <w:tl2br w:val="nil"/>
                    <w:tr2bl w:val="nil"/>
                  </w:tcBorders>
                  <w:vAlign w:val="center"/>
                </w:tcPr>
                <w:p>
                  <w:pPr>
                    <w:pStyle w:val="146"/>
                    <w:spacing w:line="0" w:lineRule="atLeast"/>
                    <w:rPr>
                      <w:szCs w:val="21"/>
                    </w:rPr>
                  </w:pPr>
                  <w:r>
                    <w:rPr>
                      <w:rFonts w:hint="eastAsia"/>
                      <w:szCs w:val="21"/>
                    </w:rPr>
                    <w:t>22</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227" w:hRule="atLeast"/>
                <w:jc w:val="center"/>
              </w:trPr>
              <w:tc>
                <w:tcPr>
                  <w:tcW w:w="1455" w:type="dxa"/>
                  <w:tcBorders>
                    <w:right w:val="single" w:color="000000" w:sz="8" w:space="0"/>
                    <w:tl2br w:val="nil"/>
                    <w:tr2bl w:val="nil"/>
                  </w:tcBorders>
                  <w:vAlign w:val="center"/>
                </w:tcPr>
                <w:p>
                  <w:pPr>
                    <w:pStyle w:val="146"/>
                    <w:spacing w:line="0" w:lineRule="atLeast"/>
                    <w:rPr>
                      <w:szCs w:val="21"/>
                    </w:rPr>
                  </w:pPr>
                  <w:r>
                    <w:rPr>
                      <w:rFonts w:hint="eastAsia"/>
                      <w:szCs w:val="21"/>
                    </w:rPr>
                    <w:t>风机</w:t>
                  </w:r>
                  <w:r>
                    <w:rPr>
                      <w:kern w:val="0"/>
                      <w:szCs w:val="21"/>
                      <w:lang w:bidi="ar"/>
                    </w:rPr>
                    <w:t>dB</w:t>
                  </w:r>
                  <w:r>
                    <w:rPr>
                      <w:rFonts w:hint="eastAsia" w:ascii="宋体" w:hAnsi="宋体" w:cs="宋体"/>
                      <w:kern w:val="0"/>
                      <w:szCs w:val="21"/>
                      <w:lang w:bidi="ar"/>
                    </w:rPr>
                    <w:t>（</w:t>
                  </w:r>
                  <w:r>
                    <w:rPr>
                      <w:kern w:val="0"/>
                      <w:szCs w:val="21"/>
                      <w:lang w:bidi="ar"/>
                    </w:rPr>
                    <w:t>A</w:t>
                  </w:r>
                  <w:r>
                    <w:rPr>
                      <w:rFonts w:hint="eastAsia" w:ascii="宋体" w:hAnsi="宋体" w:cs="宋体"/>
                      <w:kern w:val="0"/>
                      <w:szCs w:val="21"/>
                      <w:lang w:bidi="ar"/>
                    </w:rPr>
                    <w:t>）</w:t>
                  </w:r>
                </w:p>
              </w:tc>
              <w:tc>
                <w:tcPr>
                  <w:tcW w:w="1409" w:type="dxa"/>
                  <w:tcBorders>
                    <w:left w:val="single" w:color="000000" w:sz="8" w:space="0"/>
                    <w:tl2br w:val="nil"/>
                    <w:tr2bl w:val="nil"/>
                  </w:tcBorders>
                  <w:vAlign w:val="center"/>
                </w:tcPr>
                <w:p>
                  <w:pPr>
                    <w:pStyle w:val="146"/>
                    <w:spacing w:line="0" w:lineRule="atLeast"/>
                    <w:rPr>
                      <w:szCs w:val="21"/>
                    </w:rPr>
                  </w:pPr>
                  <w:r>
                    <w:rPr>
                      <w:rFonts w:hint="eastAsia"/>
                      <w:szCs w:val="21"/>
                    </w:rPr>
                    <w:t>35.0</w:t>
                  </w:r>
                </w:p>
              </w:tc>
              <w:tc>
                <w:tcPr>
                  <w:tcW w:w="1973" w:type="dxa"/>
                  <w:tcBorders>
                    <w:right w:val="single" w:color="000000" w:sz="8" w:space="0"/>
                    <w:tl2br w:val="nil"/>
                    <w:tr2bl w:val="nil"/>
                  </w:tcBorders>
                  <w:vAlign w:val="center"/>
                </w:tcPr>
                <w:p>
                  <w:pPr>
                    <w:widowControl/>
                    <w:spacing w:line="0" w:lineRule="atLeast"/>
                    <w:ind w:firstLine="0" w:firstLineChars="0"/>
                    <w:jc w:val="center"/>
                    <w:rPr>
                      <w:sz w:val="21"/>
                      <w:szCs w:val="21"/>
                    </w:rPr>
                  </w:pPr>
                  <w:r>
                    <w:rPr>
                      <w:rFonts w:hint="eastAsia"/>
                      <w:sz w:val="21"/>
                      <w:szCs w:val="21"/>
                    </w:rPr>
                    <w:t>42.9</w:t>
                  </w:r>
                </w:p>
              </w:tc>
              <w:tc>
                <w:tcPr>
                  <w:tcW w:w="1691" w:type="dxa"/>
                  <w:tcBorders>
                    <w:left w:val="single" w:color="000000" w:sz="8" w:space="0"/>
                    <w:tl2br w:val="nil"/>
                    <w:tr2bl w:val="nil"/>
                  </w:tcBorders>
                  <w:vAlign w:val="center"/>
                </w:tcPr>
                <w:p>
                  <w:pPr>
                    <w:pStyle w:val="146"/>
                    <w:spacing w:line="0" w:lineRule="atLeast"/>
                    <w:rPr>
                      <w:szCs w:val="21"/>
                    </w:rPr>
                  </w:pPr>
                  <w:r>
                    <w:rPr>
                      <w:rFonts w:hint="eastAsia"/>
                      <w:szCs w:val="21"/>
                    </w:rPr>
                    <w:t>37.4</w:t>
                  </w:r>
                </w:p>
              </w:tc>
              <w:tc>
                <w:tcPr>
                  <w:tcW w:w="1064" w:type="dxa"/>
                  <w:tcBorders>
                    <w:right w:val="single" w:color="000000" w:sz="8" w:space="0"/>
                    <w:tl2br w:val="nil"/>
                    <w:tr2bl w:val="nil"/>
                  </w:tcBorders>
                  <w:vAlign w:val="center"/>
                </w:tcPr>
                <w:p>
                  <w:pPr>
                    <w:pStyle w:val="146"/>
                    <w:spacing w:line="0" w:lineRule="atLeast"/>
                    <w:rPr>
                      <w:szCs w:val="21"/>
                    </w:rPr>
                  </w:pPr>
                  <w:r>
                    <w:rPr>
                      <w:rFonts w:hint="eastAsia"/>
                      <w:szCs w:val="21"/>
                    </w:rPr>
                    <w:t>47.7</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592" w:type="dxa"/>
                  <w:gridSpan w:val="5"/>
                  <w:tcBorders>
                    <w:right w:val="single" w:color="000000" w:sz="8" w:space="0"/>
                    <w:tl2br w:val="nil"/>
                    <w:tr2bl w:val="nil"/>
                  </w:tcBorders>
                  <w:vAlign w:val="center"/>
                </w:tcPr>
                <w:p>
                  <w:pPr>
                    <w:widowControl/>
                    <w:ind w:firstLine="0" w:firstLineChars="0"/>
                    <w:jc w:val="left"/>
                    <w:rPr>
                      <w:sz w:val="21"/>
                      <w:szCs w:val="21"/>
                    </w:rPr>
                  </w:pPr>
                  <w:r>
                    <w:rPr>
                      <w:rFonts w:hint="eastAsia"/>
                      <w:sz w:val="21"/>
                      <w:szCs w:val="21"/>
                    </w:rPr>
                    <w:t>厂界执行标准：</w:t>
                  </w:r>
                  <w:r>
                    <w:rPr>
                      <w:rFonts w:hint="eastAsia" w:ascii="宋体" w:hAnsi="宋体" w:eastAsia="宋体" w:cs="宋体"/>
                      <w:kern w:val="0"/>
                      <w:sz w:val="20"/>
                      <w:szCs w:val="20"/>
                      <w:lang w:bidi="ar"/>
                    </w:rPr>
                    <w:t>昼间</w:t>
                  </w:r>
                  <w:r>
                    <w:rPr>
                      <w:rFonts w:eastAsia="宋体" w:cs="Times New Roman"/>
                      <w:kern w:val="0"/>
                      <w:sz w:val="20"/>
                      <w:szCs w:val="20"/>
                      <w:lang w:bidi="ar"/>
                    </w:rPr>
                    <w:t>≤60</w:t>
                  </w:r>
                  <w:r>
                    <w:rPr>
                      <w:rFonts w:eastAsia="宋体" w:cs="Times New Roman"/>
                      <w:kern w:val="0"/>
                      <w:sz w:val="21"/>
                      <w:szCs w:val="21"/>
                      <w:lang w:bidi="ar"/>
                    </w:rPr>
                    <w:t>dB</w:t>
                  </w:r>
                  <w:r>
                    <w:rPr>
                      <w:rFonts w:hint="eastAsia" w:ascii="宋体" w:hAnsi="宋体" w:eastAsia="宋体" w:cs="宋体"/>
                      <w:kern w:val="0"/>
                      <w:sz w:val="21"/>
                      <w:szCs w:val="21"/>
                      <w:lang w:bidi="ar"/>
                    </w:rPr>
                    <w:t>（</w:t>
                  </w:r>
                  <w:r>
                    <w:rPr>
                      <w:rFonts w:eastAsia="宋体" w:cs="Times New Roman"/>
                      <w:kern w:val="0"/>
                      <w:sz w:val="21"/>
                      <w:szCs w:val="21"/>
                      <w:lang w:bidi="ar"/>
                    </w:rPr>
                    <w:t>A</w:t>
                  </w:r>
                  <w:r>
                    <w:rPr>
                      <w:rFonts w:hint="eastAsia" w:ascii="宋体" w:hAnsi="宋体" w:eastAsia="宋体" w:cs="宋体"/>
                      <w:kern w:val="0"/>
                      <w:sz w:val="21"/>
                      <w:szCs w:val="21"/>
                      <w:lang w:bidi="ar"/>
                    </w:rPr>
                    <w:t>）</w:t>
                  </w:r>
                  <w:r>
                    <w:rPr>
                      <w:rFonts w:hint="eastAsia" w:ascii="宋体" w:hAnsi="宋体" w:eastAsia="宋体" w:cs="宋体"/>
                      <w:kern w:val="0"/>
                      <w:sz w:val="20"/>
                      <w:szCs w:val="20"/>
                      <w:lang w:bidi="ar"/>
                    </w:rPr>
                    <w:t>，夜间≤</w:t>
                  </w:r>
                  <w:r>
                    <w:rPr>
                      <w:rFonts w:eastAsia="宋体" w:cs="Times New Roman"/>
                      <w:kern w:val="0"/>
                      <w:sz w:val="20"/>
                      <w:szCs w:val="20"/>
                      <w:lang w:bidi="ar"/>
                    </w:rPr>
                    <w:t>50</w:t>
                  </w:r>
                  <w:r>
                    <w:rPr>
                      <w:rFonts w:eastAsia="宋体" w:cs="Times New Roman"/>
                      <w:kern w:val="0"/>
                      <w:sz w:val="21"/>
                      <w:szCs w:val="21"/>
                      <w:lang w:bidi="ar"/>
                    </w:rPr>
                    <w:t>dB</w:t>
                  </w:r>
                  <w:r>
                    <w:rPr>
                      <w:rFonts w:hint="eastAsia" w:ascii="宋体" w:hAnsi="宋体" w:eastAsia="宋体" w:cs="宋体"/>
                      <w:kern w:val="0"/>
                      <w:sz w:val="21"/>
                      <w:szCs w:val="21"/>
                      <w:lang w:bidi="ar"/>
                    </w:rPr>
                    <w:t>（</w:t>
                  </w:r>
                  <w:r>
                    <w:rPr>
                      <w:rFonts w:eastAsia="宋体" w:cs="Times New Roman"/>
                      <w:kern w:val="0"/>
                      <w:sz w:val="21"/>
                      <w:szCs w:val="21"/>
                      <w:lang w:bidi="ar"/>
                    </w:rPr>
                    <w:t>A</w:t>
                  </w:r>
                  <w:r>
                    <w:rPr>
                      <w:rFonts w:hint="eastAsia" w:ascii="宋体" w:hAnsi="宋体" w:eastAsia="宋体" w:cs="宋体"/>
                      <w:kern w:val="0"/>
                      <w:sz w:val="21"/>
                      <w:szCs w:val="21"/>
                      <w:lang w:bidi="ar"/>
                    </w:rPr>
                    <w:t>）</w:t>
                  </w:r>
                </w:p>
              </w:tc>
            </w:tr>
          </w:tbl>
          <w:p>
            <w:pPr>
              <w:widowControl/>
              <w:ind w:firstLine="480"/>
              <w:jc w:val="left"/>
            </w:pPr>
            <w:r>
              <w:rPr>
                <w:rFonts w:hint="eastAsia" w:ascii="宋体" w:hAnsi="宋体" w:eastAsia="宋体" w:cs="宋体"/>
                <w:kern w:val="0"/>
                <w:szCs w:val="24"/>
                <w:lang w:bidi="ar"/>
              </w:rPr>
              <w:t>项目夜间不生产，由表</w:t>
            </w:r>
            <w:r>
              <w:rPr>
                <w:rFonts w:eastAsia="宋体" w:cs="Times New Roman"/>
                <w:kern w:val="0"/>
                <w:szCs w:val="24"/>
                <w:lang w:bidi="ar"/>
              </w:rPr>
              <w:t>4-</w:t>
            </w:r>
            <w:r>
              <w:rPr>
                <w:rFonts w:hint="eastAsia" w:eastAsia="宋体" w:cs="Times New Roman"/>
                <w:kern w:val="0"/>
                <w:szCs w:val="24"/>
                <w:lang w:bidi="ar"/>
              </w:rPr>
              <w:t>10</w:t>
            </w:r>
            <w:r>
              <w:rPr>
                <w:rFonts w:hint="eastAsia" w:ascii="宋体" w:hAnsi="宋体" w:eastAsia="宋体" w:cs="宋体"/>
                <w:kern w:val="0"/>
                <w:szCs w:val="24"/>
                <w:lang w:bidi="ar"/>
              </w:rPr>
              <w:t>可以看出，在安装减震垫，房屋隔声、合理布局、距离衰减情况下，项目各个厂界噪声均可达到《工业企业厂界环境噪声排放标准》（</w:t>
            </w:r>
            <w:r>
              <w:rPr>
                <w:rFonts w:eastAsia="宋体" w:cs="Times New Roman"/>
                <w:kern w:val="0"/>
                <w:szCs w:val="24"/>
                <w:lang w:bidi="ar"/>
              </w:rPr>
              <w:t>GB12348-2008</w:t>
            </w:r>
            <w:r>
              <w:rPr>
                <w:rFonts w:hint="eastAsia" w:ascii="宋体" w:hAnsi="宋体" w:eastAsia="宋体" w:cs="宋体"/>
                <w:kern w:val="0"/>
                <w:szCs w:val="24"/>
                <w:lang w:bidi="ar"/>
              </w:rPr>
              <w:t>）</w:t>
            </w:r>
            <w:r>
              <w:rPr>
                <w:rFonts w:hint="eastAsia" w:eastAsia="宋体" w:cs="Times New Roman"/>
                <w:kern w:val="0"/>
                <w:szCs w:val="24"/>
                <w:lang w:bidi="ar"/>
              </w:rPr>
              <w:t>2</w:t>
            </w:r>
            <w:r>
              <w:rPr>
                <w:rFonts w:hint="eastAsia" w:ascii="宋体" w:hAnsi="宋体" w:eastAsia="宋体" w:cs="宋体"/>
                <w:kern w:val="0"/>
                <w:szCs w:val="24"/>
                <w:lang w:bidi="ar"/>
              </w:rPr>
              <w:t>类区标准要求，即：昼间≤</w:t>
            </w:r>
            <w:r>
              <w:rPr>
                <w:rFonts w:eastAsia="宋体" w:cs="Times New Roman"/>
                <w:kern w:val="0"/>
                <w:szCs w:val="24"/>
                <w:lang w:bidi="ar"/>
              </w:rPr>
              <w:t>60dB</w:t>
            </w:r>
            <w:r>
              <w:rPr>
                <w:rFonts w:hint="eastAsia" w:ascii="宋体" w:hAnsi="宋体" w:eastAsia="宋体" w:cs="宋体"/>
                <w:kern w:val="0"/>
                <w:szCs w:val="24"/>
                <w:lang w:bidi="ar"/>
              </w:rPr>
              <w:t>（</w:t>
            </w:r>
            <w:r>
              <w:rPr>
                <w:rFonts w:eastAsia="宋体" w:cs="Times New Roman"/>
                <w:kern w:val="0"/>
                <w:szCs w:val="24"/>
                <w:lang w:bidi="ar"/>
              </w:rPr>
              <w:t>A</w:t>
            </w:r>
            <w:r>
              <w:rPr>
                <w:rFonts w:hint="eastAsia" w:ascii="宋体" w:hAnsi="宋体" w:eastAsia="宋体" w:cs="宋体"/>
                <w:kern w:val="0"/>
                <w:szCs w:val="24"/>
                <w:lang w:bidi="ar"/>
              </w:rPr>
              <w:t>），夜间≤</w:t>
            </w:r>
            <w:r>
              <w:rPr>
                <w:rFonts w:eastAsia="宋体" w:cs="Times New Roman"/>
                <w:kern w:val="0"/>
                <w:szCs w:val="24"/>
                <w:lang w:bidi="ar"/>
              </w:rPr>
              <w:t>50dB</w:t>
            </w:r>
            <w:r>
              <w:rPr>
                <w:rFonts w:hint="eastAsia" w:ascii="宋体" w:hAnsi="宋体" w:eastAsia="宋体" w:cs="宋体"/>
                <w:kern w:val="0"/>
                <w:szCs w:val="24"/>
                <w:lang w:bidi="ar"/>
              </w:rPr>
              <w:t>（</w:t>
            </w:r>
            <w:r>
              <w:rPr>
                <w:rFonts w:eastAsia="宋体" w:cs="Times New Roman"/>
                <w:kern w:val="0"/>
                <w:szCs w:val="24"/>
                <w:lang w:bidi="ar"/>
              </w:rPr>
              <w:t>A</w:t>
            </w:r>
            <w:r>
              <w:rPr>
                <w:rFonts w:hint="eastAsia" w:ascii="宋体" w:hAnsi="宋体" w:eastAsia="宋体" w:cs="宋体"/>
                <w:kern w:val="0"/>
                <w:szCs w:val="24"/>
                <w:lang w:bidi="ar"/>
              </w:rPr>
              <w:t xml:space="preserve">）。 </w:t>
            </w:r>
          </w:p>
          <w:p>
            <w:pPr>
              <w:widowControl/>
              <w:ind w:firstLine="482"/>
              <w:jc w:val="left"/>
            </w:pPr>
            <w:r>
              <w:rPr>
                <w:rFonts w:hint="eastAsia" w:ascii="宋体" w:hAnsi="宋体" w:eastAsia="宋体" w:cs="宋体"/>
                <w:b/>
                <w:kern w:val="0"/>
                <w:szCs w:val="24"/>
                <w:lang w:bidi="ar"/>
              </w:rPr>
              <w:t>（</w:t>
            </w:r>
            <w:r>
              <w:rPr>
                <w:rFonts w:eastAsia="宋体" w:cs="Times New Roman"/>
                <w:b/>
                <w:kern w:val="0"/>
                <w:szCs w:val="24"/>
                <w:lang w:bidi="ar"/>
              </w:rPr>
              <w:t>3</w:t>
            </w:r>
            <w:r>
              <w:rPr>
                <w:rFonts w:hint="eastAsia" w:ascii="宋体" w:hAnsi="宋体" w:eastAsia="宋体" w:cs="宋体"/>
                <w:b/>
                <w:kern w:val="0"/>
                <w:szCs w:val="24"/>
                <w:lang w:bidi="ar"/>
              </w:rPr>
              <w:t xml:space="preserve">）敏感目标影响 </w:t>
            </w:r>
          </w:p>
          <w:p>
            <w:pPr>
              <w:widowControl/>
              <w:ind w:firstLine="480"/>
              <w:jc w:val="left"/>
            </w:pPr>
            <w:r>
              <w:rPr>
                <w:rFonts w:hint="eastAsia" w:ascii="宋体" w:hAnsi="宋体" w:eastAsia="宋体" w:cs="宋体"/>
                <w:kern w:val="0"/>
                <w:szCs w:val="24"/>
                <w:lang w:bidi="ar"/>
              </w:rPr>
              <w:t>根据项目噪声预测，项目厂界四周各个厂界均可达到《工业企业厂界环境噪声排放标准》（</w:t>
            </w:r>
            <w:r>
              <w:rPr>
                <w:rFonts w:eastAsia="宋体" w:cs="Times New Roman"/>
                <w:kern w:val="0"/>
                <w:szCs w:val="24"/>
                <w:lang w:bidi="ar"/>
              </w:rPr>
              <w:t>GB12348-2008</w:t>
            </w:r>
            <w:r>
              <w:rPr>
                <w:rFonts w:hint="eastAsia" w:ascii="宋体" w:hAnsi="宋体" w:eastAsia="宋体" w:cs="宋体"/>
                <w:kern w:val="0"/>
                <w:szCs w:val="24"/>
                <w:lang w:bidi="ar"/>
              </w:rPr>
              <w:t>）</w:t>
            </w:r>
            <w:r>
              <w:rPr>
                <w:rFonts w:eastAsia="宋体" w:cs="Times New Roman"/>
                <w:kern w:val="0"/>
                <w:szCs w:val="24"/>
                <w:lang w:bidi="ar"/>
              </w:rPr>
              <w:t>2</w:t>
            </w:r>
            <w:r>
              <w:rPr>
                <w:rFonts w:hint="eastAsia" w:ascii="宋体" w:hAnsi="宋体" w:eastAsia="宋体" w:cs="宋体"/>
                <w:kern w:val="0"/>
                <w:szCs w:val="24"/>
                <w:lang w:bidi="ar"/>
              </w:rPr>
              <w:t>类区标准要求。因此，本项目噪声排放对敏感点影响较小。</w:t>
            </w:r>
          </w:p>
          <w:p>
            <w:pPr>
              <w:ind w:firstLine="482"/>
              <w:rPr>
                <w:b/>
                <w:bCs/>
                <w:kern w:val="0"/>
                <w:szCs w:val="24"/>
              </w:rPr>
            </w:pPr>
            <w:r>
              <w:rPr>
                <w:rFonts w:hint="eastAsia" w:eastAsia="宋体" w:cs="Times New Roman"/>
                <w:b/>
                <w:bCs/>
                <w:szCs w:val="24"/>
              </w:rPr>
              <w:t>3.3声</w:t>
            </w:r>
            <w:r>
              <w:rPr>
                <w:rFonts w:hint="eastAsia"/>
                <w:b/>
                <w:bCs/>
                <w:kern w:val="0"/>
                <w:szCs w:val="24"/>
              </w:rPr>
              <w:t>环境监测计划</w:t>
            </w:r>
          </w:p>
          <w:p>
            <w:pPr>
              <w:ind w:firstLine="480"/>
              <w:rPr>
                <w:rFonts w:eastAsia="宋体" w:cs="Times New Roman"/>
                <w:bCs/>
                <w:szCs w:val="24"/>
              </w:rPr>
            </w:pPr>
            <w:r>
              <w:rPr>
                <w:rFonts w:hint="eastAsia" w:eastAsia="宋体" w:cs="Times New Roman"/>
                <w:bCs/>
                <w:szCs w:val="24"/>
              </w:rPr>
              <w:t>便于建设项目的环境管理，现将建设项目声环境监测计划列于表4-11。</w:t>
            </w:r>
          </w:p>
          <w:p>
            <w:pPr>
              <w:pStyle w:val="66"/>
            </w:pPr>
            <w:r>
              <w:t>表</w:t>
            </w:r>
            <w:r>
              <w:rPr>
                <w:rFonts w:hint="eastAsia"/>
              </w:rPr>
              <w:t xml:space="preserve">4-11 </w:t>
            </w:r>
            <w:r>
              <w:t xml:space="preserve"> </w:t>
            </w:r>
            <w:r>
              <w:rPr>
                <w:rFonts w:hint="eastAsia"/>
              </w:rPr>
              <w:t>声</w:t>
            </w:r>
            <w:r>
              <w:t>环境监测计划一览表</w:t>
            </w:r>
          </w:p>
          <w:tbl>
            <w:tblPr>
              <w:tblStyle w:val="36"/>
              <w:tblW w:w="845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39"/>
              <w:gridCol w:w="1082"/>
              <w:gridCol w:w="1293"/>
              <w:gridCol w:w="2827"/>
              <w:gridCol w:w="211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139" w:type="dxa"/>
                  <w:tcBorders>
                    <w:tl2br w:val="nil"/>
                    <w:tr2bl w:val="nil"/>
                  </w:tcBorders>
                  <w:vAlign w:val="center"/>
                </w:tcPr>
                <w:p>
                  <w:pPr>
                    <w:pStyle w:val="146"/>
                  </w:pPr>
                  <w:r>
                    <w:rPr>
                      <w:rFonts w:hint="eastAsia"/>
                    </w:rPr>
                    <w:t>监测时段</w:t>
                  </w:r>
                </w:p>
              </w:tc>
              <w:tc>
                <w:tcPr>
                  <w:tcW w:w="1082" w:type="dxa"/>
                  <w:tcBorders>
                    <w:tl2br w:val="nil"/>
                    <w:tr2bl w:val="nil"/>
                  </w:tcBorders>
                  <w:vAlign w:val="center"/>
                </w:tcPr>
                <w:p>
                  <w:pPr>
                    <w:pStyle w:val="146"/>
                  </w:pPr>
                  <w:r>
                    <w:rPr>
                      <w:rFonts w:hint="eastAsia"/>
                    </w:rPr>
                    <w:t>监测项目</w:t>
                  </w:r>
                </w:p>
              </w:tc>
              <w:tc>
                <w:tcPr>
                  <w:tcW w:w="1293" w:type="dxa"/>
                  <w:tcBorders>
                    <w:tl2br w:val="nil"/>
                    <w:tr2bl w:val="nil"/>
                  </w:tcBorders>
                  <w:vAlign w:val="center"/>
                </w:tcPr>
                <w:p>
                  <w:pPr>
                    <w:pStyle w:val="146"/>
                  </w:pPr>
                  <w:r>
                    <w:t>采样点</w:t>
                  </w:r>
                </w:p>
              </w:tc>
              <w:tc>
                <w:tcPr>
                  <w:tcW w:w="2827" w:type="dxa"/>
                  <w:tcBorders>
                    <w:tl2br w:val="nil"/>
                    <w:tr2bl w:val="nil"/>
                  </w:tcBorders>
                  <w:vAlign w:val="center"/>
                </w:tcPr>
                <w:p>
                  <w:pPr>
                    <w:pStyle w:val="146"/>
                  </w:pPr>
                  <w:r>
                    <w:t>监测项目</w:t>
                  </w:r>
                </w:p>
              </w:tc>
              <w:tc>
                <w:tcPr>
                  <w:tcW w:w="2112" w:type="dxa"/>
                  <w:tcBorders>
                    <w:tl2br w:val="nil"/>
                    <w:tr2bl w:val="nil"/>
                  </w:tcBorders>
                  <w:vAlign w:val="center"/>
                </w:tcPr>
                <w:p>
                  <w:pPr>
                    <w:pStyle w:val="146"/>
                  </w:pPr>
                  <w:r>
                    <w:t>监测频率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6" w:hRule="atLeast"/>
                <w:jc w:val="center"/>
              </w:trPr>
              <w:tc>
                <w:tcPr>
                  <w:tcW w:w="1139" w:type="dxa"/>
                  <w:tcBorders>
                    <w:tl2br w:val="nil"/>
                    <w:tr2bl w:val="nil"/>
                  </w:tcBorders>
                  <w:vAlign w:val="center"/>
                </w:tcPr>
                <w:p>
                  <w:pPr>
                    <w:pStyle w:val="146"/>
                    <w:rPr>
                      <w:szCs w:val="21"/>
                    </w:rPr>
                  </w:pPr>
                  <w:r>
                    <w:rPr>
                      <w:szCs w:val="21"/>
                    </w:rPr>
                    <w:t>运营期</w:t>
                  </w:r>
                </w:p>
              </w:tc>
              <w:tc>
                <w:tcPr>
                  <w:tcW w:w="1082" w:type="dxa"/>
                  <w:tcBorders>
                    <w:tl2br w:val="nil"/>
                    <w:tr2bl w:val="nil"/>
                  </w:tcBorders>
                  <w:vAlign w:val="center"/>
                </w:tcPr>
                <w:p>
                  <w:pPr>
                    <w:pStyle w:val="146"/>
                    <w:rPr>
                      <w:szCs w:val="21"/>
                    </w:rPr>
                  </w:pPr>
                  <w:r>
                    <w:rPr>
                      <w:szCs w:val="21"/>
                    </w:rPr>
                    <w:t>噪声</w:t>
                  </w:r>
                </w:p>
              </w:tc>
              <w:tc>
                <w:tcPr>
                  <w:tcW w:w="1293" w:type="dxa"/>
                  <w:tcBorders>
                    <w:tl2br w:val="nil"/>
                    <w:tr2bl w:val="nil"/>
                  </w:tcBorders>
                  <w:vAlign w:val="center"/>
                </w:tcPr>
                <w:p>
                  <w:pPr>
                    <w:pStyle w:val="146"/>
                    <w:rPr>
                      <w:szCs w:val="21"/>
                    </w:rPr>
                  </w:pPr>
                  <w:r>
                    <w:rPr>
                      <w:szCs w:val="21"/>
                    </w:rPr>
                    <w:t>厂界四周</w:t>
                  </w:r>
                </w:p>
              </w:tc>
              <w:tc>
                <w:tcPr>
                  <w:tcW w:w="2827" w:type="dxa"/>
                  <w:tcBorders>
                    <w:tl2br w:val="nil"/>
                    <w:tr2bl w:val="nil"/>
                  </w:tcBorders>
                  <w:vAlign w:val="center"/>
                </w:tcPr>
                <w:p>
                  <w:pPr>
                    <w:pStyle w:val="146"/>
                    <w:rPr>
                      <w:szCs w:val="21"/>
                    </w:rPr>
                  </w:pPr>
                  <w:r>
                    <w:rPr>
                      <w:szCs w:val="21"/>
                    </w:rPr>
                    <w:t>连续等效A声级</w:t>
                  </w:r>
                </w:p>
              </w:tc>
              <w:tc>
                <w:tcPr>
                  <w:tcW w:w="2112" w:type="dxa"/>
                  <w:tcBorders>
                    <w:tl2br w:val="nil"/>
                    <w:tr2bl w:val="nil"/>
                  </w:tcBorders>
                  <w:vAlign w:val="center"/>
                </w:tcPr>
                <w:p>
                  <w:pPr>
                    <w:pStyle w:val="146"/>
                    <w:rPr>
                      <w:szCs w:val="21"/>
                    </w:rPr>
                  </w:pPr>
                  <w:r>
                    <w:rPr>
                      <w:szCs w:val="21"/>
                    </w:rPr>
                    <w:t>按照国家相关要求</w:t>
                  </w:r>
                </w:p>
              </w:tc>
            </w:tr>
          </w:tbl>
          <w:p>
            <w:pPr>
              <w:pStyle w:val="33"/>
              <w:ind w:firstLine="482"/>
            </w:pPr>
            <w:r>
              <w:t>4</w:t>
            </w:r>
            <w:r>
              <w:rPr>
                <w:rFonts w:hint="eastAsia"/>
              </w:rPr>
              <w:t>、固体废物</w:t>
            </w:r>
          </w:p>
          <w:p>
            <w:pPr>
              <w:ind w:firstLine="482"/>
              <w:rPr>
                <w:b/>
              </w:rPr>
            </w:pPr>
            <w:r>
              <w:rPr>
                <w:rFonts w:hint="eastAsia"/>
                <w:b/>
              </w:rPr>
              <w:t>（1）固体废物产生情况</w:t>
            </w:r>
          </w:p>
          <w:p>
            <w:pPr>
              <w:ind w:firstLine="480"/>
            </w:pPr>
            <w:r>
              <w:t>项目运营期产生的固体废物主要为医疗废物、废水处理站污泥及办公、生活垃圾</w:t>
            </w:r>
            <w:r>
              <w:rPr>
                <w:rFonts w:hint="eastAsia"/>
              </w:rPr>
              <w:t>等</w:t>
            </w:r>
            <w:r>
              <w:rPr>
                <w:szCs w:val="24"/>
              </w:rPr>
              <w:t>。</w:t>
            </w:r>
          </w:p>
          <w:p>
            <w:pPr>
              <w:pStyle w:val="27"/>
              <w:spacing w:after="0"/>
              <w:ind w:left="0" w:leftChars="0" w:firstLine="48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sz w:val="24"/>
              </w:rPr>
              <w:t>医疗废物</w:t>
            </w:r>
          </w:p>
          <w:p>
            <w:pPr>
              <w:widowControl/>
              <w:ind w:firstLine="480"/>
              <w:jc w:val="left"/>
            </w:pPr>
            <w:r>
              <w:rPr>
                <w:rFonts w:hint="eastAsia"/>
              </w:rPr>
              <w:t>项目医疗废物主要为废输液管、废输液袋、废针头、废</w:t>
            </w:r>
            <w:r>
              <w:rPr>
                <w:rFonts w:hint="eastAsia" w:ascii="宋体" w:hAnsi="宋体" w:eastAsia="宋体" w:cs="宋体"/>
                <w:kern w:val="0"/>
                <w:szCs w:val="24"/>
                <w:lang w:bidi="ar"/>
              </w:rPr>
              <w:t>麻醉、废毒性</w:t>
            </w:r>
            <w:r>
              <w:rPr>
                <w:rFonts w:hint="eastAsia"/>
              </w:rPr>
              <w:t>等药品及检验室废液。</w:t>
            </w:r>
          </w:p>
          <w:p>
            <w:pPr>
              <w:ind w:firstLine="480"/>
            </w:pPr>
            <w:r>
              <w:t>参考《医疗废物集中焚烧处置工程建设技术规范》（HJ/T177—2005），病床的医疗废物产生量（公斤/天）=床位医疗废物产生系数（公斤/床·天）×床位数（床）×床位使用率（%）。根据第一次全国污染源普查城镇生活源产排污系数手册，医院医疗废物的产生系数为0.65kg/(床·d)，</w:t>
            </w:r>
            <w:r>
              <w:rPr>
                <w:rFonts w:hint="eastAsia"/>
              </w:rPr>
              <w:t>门诊</w:t>
            </w:r>
            <w:r>
              <w:t>医疗废物的产生系数为0.</w:t>
            </w:r>
            <w:r>
              <w:rPr>
                <w:rFonts w:hint="eastAsia"/>
              </w:rPr>
              <w:t>02</w:t>
            </w:r>
            <w:r>
              <w:t>kg/(</w:t>
            </w:r>
            <w:r>
              <w:rPr>
                <w:rFonts w:hint="eastAsia"/>
              </w:rPr>
              <w:t>人次</w:t>
            </w:r>
            <w:r>
              <w:t>·d)，病床使用率</w:t>
            </w:r>
            <w:r>
              <w:rPr>
                <w:rFonts w:hint="eastAsia"/>
              </w:rPr>
              <w:t>及门诊就诊率均</w:t>
            </w:r>
            <w:r>
              <w:t>按100%计算，则本项目病床医疗废物</w:t>
            </w:r>
            <w:r>
              <w:rPr>
                <w:rFonts w:hint="eastAsia"/>
              </w:rPr>
              <w:t>增加</w:t>
            </w:r>
            <w:r>
              <w:t>量为0</w:t>
            </w:r>
            <w:r>
              <w:rPr>
                <w:rFonts w:hint="eastAsia"/>
              </w:rPr>
              <w:t>.65</w:t>
            </w:r>
            <w:r>
              <w:t>×</w:t>
            </w:r>
            <w:r>
              <w:rPr>
                <w:rFonts w:hint="eastAsia"/>
              </w:rPr>
              <w:t>72</w:t>
            </w:r>
            <w:r>
              <w:t>×100%=</w:t>
            </w:r>
            <w:r>
              <w:rPr>
                <w:rFonts w:hint="eastAsia"/>
              </w:rPr>
              <w:t>46.8</w:t>
            </w:r>
            <w:r>
              <w:t>kg/d</w:t>
            </w:r>
            <w:r>
              <w:rPr>
                <w:rFonts w:hint="eastAsia"/>
              </w:rPr>
              <w:t>。</w:t>
            </w:r>
          </w:p>
          <w:p>
            <w:pPr>
              <w:ind w:firstLine="480"/>
            </w:pPr>
            <w:r>
              <w:t>门诊医疗废物产生量（公斤/天）=门诊医疗废物产生系数（公斤/人次·天）×门诊人数（人次），则本项目门诊医疗废物</w:t>
            </w:r>
            <w:r>
              <w:rPr>
                <w:rFonts w:hint="eastAsia"/>
              </w:rPr>
              <w:t>增加</w:t>
            </w:r>
            <w:r>
              <w:t>量=0.02×</w:t>
            </w:r>
            <w:r>
              <w:rPr>
                <w:rFonts w:hint="eastAsia"/>
              </w:rPr>
              <w:t>7</w:t>
            </w:r>
            <w:r>
              <w:t>=</w:t>
            </w:r>
            <w:r>
              <w:rPr>
                <w:rFonts w:hint="eastAsia"/>
              </w:rPr>
              <w:t>0.14</w:t>
            </w:r>
            <w:r>
              <w:t>kg/d。</w:t>
            </w:r>
          </w:p>
          <w:p>
            <w:pPr>
              <w:ind w:firstLine="480"/>
            </w:pPr>
            <w:r>
              <w:rPr>
                <w:rFonts w:hint="eastAsia"/>
              </w:rPr>
              <w:t>检验废液产生量约为0.08t/d，目前，建设单位对检验废液采取中和法将检验废水单独用容器收集后中和预处理至pH至7~8后排入医院化粪池。根据《国家危险废物名录（2021年版）》，检验废液属于医废，环评要求建设单位对检验废液采用单独容器收集后暂存于医疗废物暂存间，委托有资质的单位定期清运处置。</w:t>
            </w:r>
          </w:p>
          <w:p>
            <w:pPr>
              <w:pStyle w:val="66"/>
            </w:pPr>
            <w:r>
              <w:rPr>
                <w:rFonts w:hint="eastAsia"/>
              </w:rPr>
              <w:t>表4-12  项目固体废物产生量一览表</w:t>
            </w:r>
          </w:p>
          <w:tbl>
            <w:tblPr>
              <w:tblStyle w:val="36"/>
              <w:tblW w:w="7963" w:type="dxa"/>
              <w:jc w:val="center"/>
              <w:tblLayout w:type="fixed"/>
              <w:tblCellMar>
                <w:top w:w="0" w:type="dxa"/>
                <w:left w:w="0" w:type="dxa"/>
                <w:bottom w:w="0" w:type="dxa"/>
                <w:right w:w="0" w:type="dxa"/>
              </w:tblCellMar>
            </w:tblPr>
            <w:tblGrid>
              <w:gridCol w:w="600"/>
              <w:gridCol w:w="995"/>
              <w:gridCol w:w="1418"/>
              <w:gridCol w:w="982"/>
              <w:gridCol w:w="832"/>
              <w:gridCol w:w="927"/>
              <w:gridCol w:w="2209"/>
            </w:tblGrid>
            <w:tr>
              <w:tblPrEx>
                <w:tblCellMar>
                  <w:top w:w="0" w:type="dxa"/>
                  <w:left w:w="0" w:type="dxa"/>
                  <w:bottom w:w="0" w:type="dxa"/>
                  <w:right w:w="0" w:type="dxa"/>
                </w:tblCellMar>
              </w:tblPrEx>
              <w:trPr>
                <w:trHeight w:val="525" w:hRule="atLeast"/>
                <w:jc w:val="center"/>
              </w:trPr>
              <w:tc>
                <w:tcPr>
                  <w:tcW w:w="1595" w:type="dxa"/>
                  <w:gridSpan w:val="2"/>
                  <w:tcBorders>
                    <w:top w:val="single" w:color="auto" w:sz="8" w:space="0"/>
                    <w:left w:val="single" w:color="auto" w:sz="8" w:space="0"/>
                    <w:bottom w:val="single" w:color="000000" w:sz="8" w:space="0"/>
                    <w:right w:val="single" w:color="000000" w:sz="8" w:space="0"/>
                  </w:tcBorders>
                  <w:shd w:val="clear" w:color="auto" w:fill="auto"/>
                  <w:vAlign w:val="center"/>
                </w:tcPr>
                <w:p>
                  <w:pPr>
                    <w:pStyle w:val="146"/>
                  </w:pPr>
                  <w:r>
                    <w:rPr>
                      <w:rFonts w:hint="eastAsia"/>
                    </w:rPr>
                    <w:t>产生部位</w:t>
                  </w:r>
                </w:p>
              </w:tc>
              <w:tc>
                <w:tcPr>
                  <w:tcW w:w="1418"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146"/>
                  </w:pPr>
                  <w:r>
                    <w:rPr>
                      <w:rFonts w:hint="eastAsia"/>
                    </w:rPr>
                    <w:t>产生系数</w:t>
                  </w:r>
                </w:p>
              </w:tc>
              <w:tc>
                <w:tcPr>
                  <w:tcW w:w="982"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146"/>
                  </w:pPr>
                  <w:r>
                    <w:rPr>
                      <w:rFonts w:hint="eastAsia"/>
                    </w:rPr>
                    <w:t>病床数量</w:t>
                  </w:r>
                </w:p>
              </w:tc>
              <w:tc>
                <w:tcPr>
                  <w:tcW w:w="1759" w:type="dxa"/>
                  <w:gridSpan w:val="2"/>
                  <w:tcBorders>
                    <w:top w:val="single" w:color="auto" w:sz="8" w:space="0"/>
                    <w:left w:val="single" w:color="auto" w:sz="8" w:space="0"/>
                    <w:bottom w:val="single" w:color="000000" w:sz="8" w:space="0"/>
                    <w:right w:val="single" w:color="auto" w:sz="8" w:space="0"/>
                  </w:tcBorders>
                  <w:shd w:val="clear" w:color="auto" w:fill="auto"/>
                  <w:vAlign w:val="center"/>
                </w:tcPr>
                <w:p>
                  <w:pPr>
                    <w:pStyle w:val="146"/>
                  </w:pPr>
                  <w:r>
                    <w:rPr>
                      <w:rFonts w:hint="eastAsia"/>
                    </w:rPr>
                    <w:t>医疗废物产生数量</w:t>
                  </w:r>
                </w:p>
              </w:tc>
              <w:tc>
                <w:tcPr>
                  <w:tcW w:w="2209" w:type="dxa"/>
                  <w:tcBorders>
                    <w:top w:val="single" w:color="auto" w:sz="8" w:space="0"/>
                    <w:left w:val="single" w:color="auto" w:sz="8" w:space="0"/>
                    <w:bottom w:val="single" w:color="000000" w:sz="8" w:space="0"/>
                    <w:right w:val="single" w:color="000000" w:sz="8" w:space="0"/>
                  </w:tcBorders>
                  <w:shd w:val="clear" w:color="auto" w:fill="auto"/>
                  <w:vAlign w:val="center"/>
                </w:tcPr>
                <w:p>
                  <w:pPr>
                    <w:pStyle w:val="146"/>
                  </w:pPr>
                  <w:r>
                    <w:rPr>
                      <w:rFonts w:hint="eastAsia"/>
                    </w:rPr>
                    <w:t>排放去向</w:t>
                  </w:r>
                </w:p>
              </w:tc>
            </w:tr>
            <w:tr>
              <w:tblPrEx>
                <w:tblCellMar>
                  <w:top w:w="0" w:type="dxa"/>
                  <w:left w:w="0" w:type="dxa"/>
                  <w:bottom w:w="0" w:type="dxa"/>
                  <w:right w:w="0" w:type="dxa"/>
                </w:tblCellMar>
              </w:tblPrEx>
              <w:trPr>
                <w:trHeight w:val="416" w:hRule="atLeast"/>
                <w:jc w:val="center"/>
              </w:trPr>
              <w:tc>
                <w:tcPr>
                  <w:tcW w:w="600" w:type="dxa"/>
                  <w:vMerge w:val="restart"/>
                  <w:tcBorders>
                    <w:top w:val="nil"/>
                    <w:left w:val="single" w:color="auto" w:sz="8" w:space="0"/>
                    <w:bottom w:val="single" w:color="000000" w:sz="8" w:space="0"/>
                    <w:right w:val="single" w:color="auto" w:sz="8" w:space="0"/>
                  </w:tcBorders>
                  <w:shd w:val="clear" w:color="auto" w:fill="auto"/>
                  <w:vAlign w:val="center"/>
                </w:tcPr>
                <w:p>
                  <w:pPr>
                    <w:pStyle w:val="146"/>
                  </w:pPr>
                  <w:r>
                    <w:rPr>
                      <w:rFonts w:hint="eastAsia"/>
                    </w:rPr>
                    <w:t>医疗废物</w:t>
                  </w:r>
                </w:p>
              </w:tc>
              <w:tc>
                <w:tcPr>
                  <w:tcW w:w="995" w:type="dxa"/>
                  <w:tcBorders>
                    <w:top w:val="nil"/>
                    <w:left w:val="nil"/>
                    <w:bottom w:val="single" w:color="auto" w:sz="8" w:space="0"/>
                    <w:right w:val="single" w:color="auto" w:sz="8" w:space="0"/>
                  </w:tcBorders>
                  <w:shd w:val="clear" w:color="auto" w:fill="auto"/>
                  <w:vAlign w:val="center"/>
                </w:tcPr>
                <w:p>
                  <w:pPr>
                    <w:pStyle w:val="146"/>
                  </w:pPr>
                  <w:r>
                    <w:rPr>
                      <w:rFonts w:hint="eastAsia"/>
                    </w:rPr>
                    <w:t>住院病床</w:t>
                  </w:r>
                </w:p>
              </w:tc>
              <w:tc>
                <w:tcPr>
                  <w:tcW w:w="1418" w:type="dxa"/>
                  <w:tcBorders>
                    <w:top w:val="nil"/>
                    <w:left w:val="nil"/>
                    <w:bottom w:val="single" w:color="auto" w:sz="8" w:space="0"/>
                    <w:right w:val="single" w:color="auto" w:sz="8" w:space="0"/>
                  </w:tcBorders>
                  <w:shd w:val="clear" w:color="auto" w:fill="auto"/>
                  <w:vAlign w:val="center"/>
                </w:tcPr>
                <w:p>
                  <w:pPr>
                    <w:pStyle w:val="146"/>
                  </w:pPr>
                  <w:r>
                    <w:t>0.65kg/(床·d)</w:t>
                  </w:r>
                </w:p>
              </w:tc>
              <w:tc>
                <w:tcPr>
                  <w:tcW w:w="982" w:type="dxa"/>
                  <w:tcBorders>
                    <w:top w:val="nil"/>
                    <w:left w:val="nil"/>
                    <w:bottom w:val="single" w:color="auto" w:sz="8" w:space="0"/>
                    <w:right w:val="single" w:color="auto" w:sz="8" w:space="0"/>
                  </w:tcBorders>
                  <w:shd w:val="clear" w:color="auto" w:fill="auto"/>
                  <w:vAlign w:val="center"/>
                </w:tcPr>
                <w:p>
                  <w:pPr>
                    <w:pStyle w:val="146"/>
                  </w:pPr>
                  <w:r>
                    <w:rPr>
                      <w:rFonts w:hint="eastAsia"/>
                    </w:rPr>
                    <w:t>72</w:t>
                  </w:r>
                </w:p>
              </w:tc>
              <w:tc>
                <w:tcPr>
                  <w:tcW w:w="832" w:type="dxa"/>
                  <w:tcBorders>
                    <w:top w:val="nil"/>
                    <w:left w:val="nil"/>
                    <w:bottom w:val="single" w:color="auto" w:sz="8" w:space="0"/>
                    <w:right w:val="single" w:color="auto" w:sz="8" w:space="0"/>
                  </w:tcBorders>
                  <w:shd w:val="clear" w:color="auto" w:fill="auto"/>
                  <w:vAlign w:val="center"/>
                </w:tcPr>
                <w:p>
                  <w:pPr>
                    <w:pStyle w:val="146"/>
                  </w:pPr>
                  <w:r>
                    <w:rPr>
                      <w:rFonts w:hint="eastAsia"/>
                    </w:rPr>
                    <w:t>46.8</w:t>
                  </w:r>
                  <w:r>
                    <w:t>kg/d</w:t>
                  </w:r>
                </w:p>
              </w:tc>
              <w:tc>
                <w:tcPr>
                  <w:tcW w:w="927" w:type="dxa"/>
                  <w:tcBorders>
                    <w:top w:val="nil"/>
                    <w:left w:val="nil"/>
                    <w:bottom w:val="single" w:color="auto" w:sz="8" w:space="0"/>
                    <w:right w:val="single" w:color="auto" w:sz="8" w:space="0"/>
                  </w:tcBorders>
                  <w:shd w:val="clear" w:color="auto" w:fill="auto"/>
                  <w:vAlign w:val="center"/>
                </w:tcPr>
                <w:p>
                  <w:pPr>
                    <w:pStyle w:val="146"/>
                  </w:pPr>
                  <w:r>
                    <w:rPr>
                      <w:rFonts w:hint="eastAsia"/>
                    </w:rPr>
                    <w:t>17.082t/a</w:t>
                  </w:r>
                </w:p>
              </w:tc>
              <w:tc>
                <w:tcPr>
                  <w:tcW w:w="2209" w:type="dxa"/>
                  <w:vMerge w:val="restart"/>
                  <w:tcBorders>
                    <w:top w:val="nil"/>
                    <w:left w:val="nil"/>
                    <w:right w:val="single" w:color="000000" w:sz="8" w:space="0"/>
                  </w:tcBorders>
                  <w:shd w:val="clear" w:color="auto" w:fill="auto"/>
                  <w:vAlign w:val="center"/>
                </w:tcPr>
                <w:p>
                  <w:pPr>
                    <w:pStyle w:val="146"/>
                  </w:pPr>
                  <w:r>
                    <w:rPr>
                      <w:rFonts w:hint="eastAsia"/>
                    </w:rPr>
                    <w:t>委托楚雄利盈医疗废物处理有限公司处置</w:t>
                  </w:r>
                </w:p>
              </w:tc>
            </w:tr>
            <w:tr>
              <w:tblPrEx>
                <w:tblCellMar>
                  <w:top w:w="0" w:type="dxa"/>
                  <w:left w:w="0" w:type="dxa"/>
                  <w:bottom w:w="0" w:type="dxa"/>
                  <w:right w:w="0" w:type="dxa"/>
                </w:tblCellMar>
              </w:tblPrEx>
              <w:trPr>
                <w:trHeight w:val="424" w:hRule="atLeast"/>
                <w:jc w:val="center"/>
              </w:trPr>
              <w:tc>
                <w:tcPr>
                  <w:tcW w:w="600" w:type="dxa"/>
                  <w:vMerge w:val="continue"/>
                  <w:tcBorders>
                    <w:top w:val="nil"/>
                    <w:left w:val="single" w:color="auto" w:sz="8" w:space="0"/>
                    <w:bottom w:val="single" w:color="000000" w:sz="8" w:space="0"/>
                    <w:right w:val="single" w:color="auto" w:sz="8" w:space="0"/>
                  </w:tcBorders>
                  <w:vAlign w:val="center"/>
                </w:tcPr>
                <w:p>
                  <w:pPr>
                    <w:pStyle w:val="146"/>
                  </w:pPr>
                </w:p>
              </w:tc>
              <w:tc>
                <w:tcPr>
                  <w:tcW w:w="995" w:type="dxa"/>
                  <w:tcBorders>
                    <w:top w:val="nil"/>
                    <w:left w:val="nil"/>
                    <w:bottom w:val="single" w:color="auto" w:sz="8" w:space="0"/>
                    <w:right w:val="single" w:color="auto" w:sz="8" w:space="0"/>
                  </w:tcBorders>
                  <w:shd w:val="clear" w:color="auto" w:fill="auto"/>
                  <w:vAlign w:val="center"/>
                </w:tcPr>
                <w:p>
                  <w:pPr>
                    <w:pStyle w:val="146"/>
                  </w:pPr>
                  <w:r>
                    <w:rPr>
                      <w:rFonts w:hint="eastAsia"/>
                    </w:rPr>
                    <w:t>门诊</w:t>
                  </w:r>
                </w:p>
              </w:tc>
              <w:tc>
                <w:tcPr>
                  <w:tcW w:w="1418" w:type="dxa"/>
                  <w:tcBorders>
                    <w:top w:val="nil"/>
                    <w:left w:val="nil"/>
                    <w:bottom w:val="single" w:color="auto" w:sz="8" w:space="0"/>
                    <w:right w:val="single" w:color="auto" w:sz="8" w:space="0"/>
                  </w:tcBorders>
                  <w:shd w:val="clear" w:color="auto" w:fill="auto"/>
                  <w:vAlign w:val="center"/>
                </w:tcPr>
                <w:p>
                  <w:pPr>
                    <w:pStyle w:val="146"/>
                  </w:pPr>
                  <w:r>
                    <w:t>0.</w:t>
                  </w:r>
                  <w:r>
                    <w:rPr>
                      <w:rFonts w:hint="eastAsia"/>
                    </w:rPr>
                    <w:t>02</w:t>
                  </w:r>
                  <w:r>
                    <w:t>kg/(</w:t>
                  </w:r>
                  <w:r>
                    <w:rPr>
                      <w:rFonts w:hint="eastAsia"/>
                    </w:rPr>
                    <w:t>人次</w:t>
                  </w:r>
                  <w:r>
                    <w:t>·d)</w:t>
                  </w:r>
                </w:p>
              </w:tc>
              <w:tc>
                <w:tcPr>
                  <w:tcW w:w="982" w:type="dxa"/>
                  <w:tcBorders>
                    <w:top w:val="nil"/>
                    <w:left w:val="nil"/>
                    <w:bottom w:val="single" w:color="auto" w:sz="8" w:space="0"/>
                    <w:right w:val="single" w:color="auto" w:sz="8" w:space="0"/>
                  </w:tcBorders>
                  <w:shd w:val="clear" w:color="auto" w:fill="auto"/>
                  <w:vAlign w:val="center"/>
                </w:tcPr>
                <w:p>
                  <w:pPr>
                    <w:pStyle w:val="146"/>
                  </w:pPr>
                  <w:r>
                    <w:rPr>
                      <w:rFonts w:hint="eastAsia"/>
                    </w:rPr>
                    <w:t>7</w:t>
                  </w:r>
                </w:p>
              </w:tc>
              <w:tc>
                <w:tcPr>
                  <w:tcW w:w="832" w:type="dxa"/>
                  <w:tcBorders>
                    <w:top w:val="nil"/>
                    <w:left w:val="nil"/>
                    <w:bottom w:val="single" w:color="auto" w:sz="8" w:space="0"/>
                    <w:right w:val="single" w:color="auto" w:sz="8" w:space="0"/>
                  </w:tcBorders>
                  <w:shd w:val="clear" w:color="auto" w:fill="auto"/>
                  <w:vAlign w:val="center"/>
                </w:tcPr>
                <w:p>
                  <w:pPr>
                    <w:pStyle w:val="146"/>
                  </w:pPr>
                  <w:r>
                    <w:rPr>
                      <w:rFonts w:hint="eastAsia"/>
                    </w:rPr>
                    <w:t>0.14</w:t>
                  </w:r>
                  <w:r>
                    <w:t>kg/d</w:t>
                  </w:r>
                </w:p>
              </w:tc>
              <w:tc>
                <w:tcPr>
                  <w:tcW w:w="927" w:type="dxa"/>
                  <w:tcBorders>
                    <w:top w:val="nil"/>
                    <w:left w:val="nil"/>
                    <w:bottom w:val="single" w:color="auto" w:sz="8" w:space="0"/>
                    <w:right w:val="single" w:color="auto" w:sz="8" w:space="0"/>
                  </w:tcBorders>
                  <w:shd w:val="clear" w:color="auto" w:fill="auto"/>
                  <w:vAlign w:val="center"/>
                </w:tcPr>
                <w:p>
                  <w:pPr>
                    <w:pStyle w:val="146"/>
                  </w:pPr>
                  <w:r>
                    <w:rPr>
                      <w:rFonts w:hint="eastAsia"/>
                    </w:rPr>
                    <w:t>0.0511t/a</w:t>
                  </w:r>
                </w:p>
              </w:tc>
              <w:tc>
                <w:tcPr>
                  <w:tcW w:w="2209" w:type="dxa"/>
                  <w:vMerge w:val="continue"/>
                  <w:tcBorders>
                    <w:left w:val="nil"/>
                    <w:bottom w:val="single" w:color="auto" w:sz="8" w:space="0"/>
                    <w:right w:val="single" w:color="000000" w:sz="8" w:space="0"/>
                  </w:tcBorders>
                  <w:shd w:val="clear" w:color="auto" w:fill="auto"/>
                  <w:vAlign w:val="center"/>
                </w:tcPr>
                <w:p>
                  <w:pPr>
                    <w:pStyle w:val="146"/>
                  </w:pPr>
                </w:p>
              </w:tc>
            </w:tr>
            <w:tr>
              <w:tblPrEx>
                <w:tblCellMar>
                  <w:top w:w="0" w:type="dxa"/>
                  <w:left w:w="0" w:type="dxa"/>
                  <w:bottom w:w="0" w:type="dxa"/>
                  <w:right w:w="0" w:type="dxa"/>
                </w:tblCellMar>
              </w:tblPrEx>
              <w:trPr>
                <w:trHeight w:val="397" w:hRule="atLeast"/>
                <w:jc w:val="center"/>
              </w:trPr>
              <w:tc>
                <w:tcPr>
                  <w:tcW w:w="600" w:type="dxa"/>
                  <w:vMerge w:val="continue"/>
                  <w:tcBorders>
                    <w:top w:val="nil"/>
                    <w:left w:val="single" w:color="auto" w:sz="8" w:space="0"/>
                    <w:bottom w:val="single" w:color="000000" w:sz="8" w:space="0"/>
                    <w:right w:val="single" w:color="auto" w:sz="8" w:space="0"/>
                  </w:tcBorders>
                  <w:vAlign w:val="center"/>
                </w:tcPr>
                <w:p>
                  <w:pPr>
                    <w:pStyle w:val="146"/>
                  </w:pPr>
                </w:p>
              </w:tc>
              <w:tc>
                <w:tcPr>
                  <w:tcW w:w="995" w:type="dxa"/>
                  <w:tcBorders>
                    <w:top w:val="nil"/>
                    <w:left w:val="nil"/>
                    <w:bottom w:val="single" w:color="auto" w:sz="8" w:space="0"/>
                    <w:right w:val="single" w:color="auto" w:sz="8" w:space="0"/>
                  </w:tcBorders>
                  <w:shd w:val="clear" w:color="auto" w:fill="auto"/>
                  <w:vAlign w:val="center"/>
                </w:tcPr>
                <w:p>
                  <w:pPr>
                    <w:pStyle w:val="146"/>
                  </w:pPr>
                  <w:r>
                    <w:rPr>
                      <w:rFonts w:hint="eastAsia"/>
                    </w:rPr>
                    <w:t>检验室</w:t>
                  </w:r>
                </w:p>
              </w:tc>
              <w:tc>
                <w:tcPr>
                  <w:tcW w:w="1418" w:type="dxa"/>
                  <w:tcBorders>
                    <w:top w:val="nil"/>
                    <w:left w:val="nil"/>
                    <w:bottom w:val="single" w:color="auto" w:sz="8" w:space="0"/>
                    <w:right w:val="single" w:color="auto" w:sz="8" w:space="0"/>
                  </w:tcBorders>
                  <w:shd w:val="clear" w:color="auto" w:fill="auto"/>
                  <w:vAlign w:val="center"/>
                </w:tcPr>
                <w:p>
                  <w:pPr>
                    <w:pStyle w:val="146"/>
                  </w:pPr>
                  <w:r>
                    <w:t>/</w:t>
                  </w:r>
                </w:p>
              </w:tc>
              <w:tc>
                <w:tcPr>
                  <w:tcW w:w="982" w:type="dxa"/>
                  <w:tcBorders>
                    <w:top w:val="nil"/>
                    <w:left w:val="nil"/>
                    <w:bottom w:val="single" w:color="auto" w:sz="8" w:space="0"/>
                    <w:right w:val="single" w:color="auto" w:sz="8" w:space="0"/>
                  </w:tcBorders>
                  <w:shd w:val="clear" w:color="auto" w:fill="auto"/>
                  <w:vAlign w:val="center"/>
                </w:tcPr>
                <w:p>
                  <w:pPr>
                    <w:pStyle w:val="146"/>
                  </w:pPr>
                  <w:r>
                    <w:t>/</w:t>
                  </w:r>
                </w:p>
              </w:tc>
              <w:tc>
                <w:tcPr>
                  <w:tcW w:w="832" w:type="dxa"/>
                  <w:tcBorders>
                    <w:top w:val="nil"/>
                    <w:left w:val="nil"/>
                    <w:bottom w:val="single" w:color="auto" w:sz="8" w:space="0"/>
                    <w:right w:val="single" w:color="auto" w:sz="8" w:space="0"/>
                  </w:tcBorders>
                  <w:shd w:val="clear" w:color="auto" w:fill="auto"/>
                  <w:vAlign w:val="center"/>
                </w:tcPr>
                <w:p>
                  <w:pPr>
                    <w:pStyle w:val="146"/>
                  </w:pPr>
                  <w:r>
                    <w:rPr>
                      <w:rFonts w:hint="eastAsia"/>
                    </w:rPr>
                    <w:t>0.08m</w:t>
                  </w:r>
                  <w:r>
                    <w:rPr>
                      <w:rFonts w:hint="eastAsia"/>
                      <w:vertAlign w:val="superscript"/>
                    </w:rPr>
                    <w:t>3</w:t>
                  </w:r>
                  <w:r>
                    <w:rPr>
                      <w:rFonts w:hint="eastAsia"/>
                    </w:rPr>
                    <w:t>/d</w:t>
                  </w:r>
                </w:p>
              </w:tc>
              <w:tc>
                <w:tcPr>
                  <w:tcW w:w="927" w:type="dxa"/>
                  <w:tcBorders>
                    <w:top w:val="nil"/>
                    <w:left w:val="nil"/>
                    <w:bottom w:val="single" w:color="auto" w:sz="8" w:space="0"/>
                    <w:right w:val="single" w:color="auto" w:sz="8" w:space="0"/>
                  </w:tcBorders>
                  <w:shd w:val="clear" w:color="auto" w:fill="auto"/>
                  <w:vAlign w:val="center"/>
                </w:tcPr>
                <w:p>
                  <w:pPr>
                    <w:pStyle w:val="146"/>
                  </w:pPr>
                  <w:r>
                    <w:rPr>
                      <w:rFonts w:hint="eastAsia"/>
                    </w:rPr>
                    <w:t>29.2m</w:t>
                  </w:r>
                  <w:r>
                    <w:rPr>
                      <w:rFonts w:hint="eastAsia"/>
                      <w:vertAlign w:val="superscript"/>
                    </w:rPr>
                    <w:t>3</w:t>
                  </w:r>
                  <w:r>
                    <w:rPr>
                      <w:rFonts w:hint="eastAsia"/>
                    </w:rPr>
                    <w:t>/a</w:t>
                  </w:r>
                </w:p>
              </w:tc>
              <w:tc>
                <w:tcPr>
                  <w:tcW w:w="2209" w:type="dxa"/>
                  <w:tcBorders>
                    <w:top w:val="nil"/>
                    <w:left w:val="nil"/>
                    <w:bottom w:val="single" w:color="auto" w:sz="8" w:space="0"/>
                    <w:right w:val="single" w:color="000000" w:sz="8" w:space="0"/>
                  </w:tcBorders>
                  <w:shd w:val="clear" w:color="auto" w:fill="auto"/>
                  <w:vAlign w:val="center"/>
                </w:tcPr>
                <w:p>
                  <w:pPr>
                    <w:pStyle w:val="146"/>
                  </w:pPr>
                  <w:r>
                    <w:rPr>
                      <w:rFonts w:hint="eastAsia"/>
                    </w:rPr>
                    <w:t>委托有资质的单位处置</w:t>
                  </w:r>
                </w:p>
              </w:tc>
            </w:tr>
          </w:tbl>
          <w:p>
            <w:pPr>
              <w:ind w:firstLine="480"/>
            </w:pPr>
          </w:p>
          <w:p>
            <w:pPr>
              <w:ind w:firstLine="480"/>
            </w:pPr>
            <w:r>
              <w:t>则项目医疗废物</w:t>
            </w:r>
            <w:r>
              <w:rPr>
                <w:rFonts w:hint="eastAsia"/>
              </w:rPr>
              <w:t>产生</w:t>
            </w:r>
            <w:r>
              <w:t>量为</w:t>
            </w:r>
            <w:r>
              <w:rPr>
                <w:rFonts w:hint="eastAsia"/>
              </w:rPr>
              <w:t>46.94k</w:t>
            </w:r>
            <w:r>
              <w:t>g/d，约</w:t>
            </w:r>
            <w:r>
              <w:rPr>
                <w:rFonts w:hint="eastAsia"/>
              </w:rPr>
              <w:t>17.13</w:t>
            </w:r>
            <w:r>
              <w:t>t/a</w:t>
            </w:r>
            <w:r>
              <w:rPr>
                <w:rFonts w:hint="eastAsia"/>
              </w:rPr>
              <w:t>；检验室废液产生量为0.08m</w:t>
            </w:r>
            <w:r>
              <w:rPr>
                <w:rFonts w:hint="eastAsia"/>
                <w:vertAlign w:val="superscript"/>
              </w:rPr>
              <w:t>3</w:t>
            </w:r>
            <w:r>
              <w:rPr>
                <w:rFonts w:hint="eastAsia"/>
              </w:rPr>
              <w:t>/d，29.2m</w:t>
            </w:r>
            <w:r>
              <w:rPr>
                <w:rFonts w:hint="eastAsia"/>
                <w:vertAlign w:val="superscript"/>
              </w:rPr>
              <w:t>3</w:t>
            </w:r>
            <w:r>
              <w:rPr>
                <w:rFonts w:hint="eastAsia"/>
              </w:rPr>
              <w:t>/a</w:t>
            </w:r>
            <w:r>
              <w:t>。</w:t>
            </w:r>
          </w:p>
          <w:p>
            <w:pPr>
              <w:ind w:firstLine="480"/>
            </w:pPr>
            <w:r>
              <w:t>医疗</w:t>
            </w:r>
            <w:r>
              <w:rPr>
                <w:rFonts w:hint="eastAsia"/>
              </w:rPr>
              <w:t>废物属</w:t>
            </w:r>
            <w:r>
              <w:t xml:space="preserve">于危险废物，按国家危险废物名录分为医疗废物(HW01)。根据《医疗废物分类目录》（卫生部、国家环保总局文件 卫医发[2003]287号 </w:t>
            </w:r>
            <w:r>
              <w:rPr>
                <w:rFonts w:hint="eastAsia"/>
              </w:rPr>
              <w:t>），</w:t>
            </w:r>
            <w:r>
              <w:t>医疗废物</w:t>
            </w:r>
            <w:r>
              <w:rPr>
                <w:rFonts w:hint="eastAsia"/>
              </w:rPr>
              <w:t>分为感染性废物、病理性废物、损伤性废物、药物性废物和化学性废物五大类。项目</w:t>
            </w:r>
            <w:r>
              <w:t>医疗废物</w:t>
            </w:r>
            <w:r>
              <w:rPr>
                <w:rFonts w:hint="eastAsia"/>
              </w:rPr>
              <w:t>涉及感染性废物</w:t>
            </w:r>
            <w:r>
              <w:t>(HW01，废物代码8</w:t>
            </w:r>
            <w:r>
              <w:rPr>
                <w:rFonts w:hint="eastAsia"/>
              </w:rPr>
              <w:t>4</w:t>
            </w:r>
            <w:r>
              <w:t>1-001-01)</w:t>
            </w:r>
            <w:r>
              <w:rPr>
                <w:rFonts w:hint="eastAsia"/>
              </w:rPr>
              <w:t>、损伤性废物</w:t>
            </w:r>
            <w:r>
              <w:t>(HW01，废物代码8</w:t>
            </w:r>
            <w:r>
              <w:rPr>
                <w:rFonts w:hint="eastAsia"/>
              </w:rPr>
              <w:t>4</w:t>
            </w:r>
            <w:r>
              <w:t>1-00</w:t>
            </w:r>
            <w:r>
              <w:rPr>
                <w:rFonts w:hint="eastAsia"/>
              </w:rPr>
              <w:t>2</w:t>
            </w:r>
            <w:r>
              <w:t>-01)</w:t>
            </w:r>
            <w:r>
              <w:rPr>
                <w:rFonts w:hint="eastAsia"/>
              </w:rPr>
              <w:t>药物性废物</w:t>
            </w:r>
            <w:r>
              <w:t>(HW01，废物代码8</w:t>
            </w:r>
            <w:r>
              <w:rPr>
                <w:rFonts w:hint="eastAsia"/>
              </w:rPr>
              <w:t>4</w:t>
            </w:r>
            <w:r>
              <w:t>1-00</w:t>
            </w:r>
            <w:r>
              <w:rPr>
                <w:rFonts w:hint="eastAsia"/>
              </w:rPr>
              <w:t>5</w:t>
            </w:r>
            <w:r>
              <w:t>-01)</w:t>
            </w:r>
            <w:r>
              <w:rPr>
                <w:rFonts w:hint="eastAsia"/>
              </w:rPr>
              <w:t>及化学性废液</w:t>
            </w:r>
            <w:r>
              <w:t>(HW01，废物代码8</w:t>
            </w:r>
            <w:r>
              <w:rPr>
                <w:rFonts w:hint="eastAsia"/>
              </w:rPr>
              <w:t>4</w:t>
            </w:r>
            <w:r>
              <w:t>1-00</w:t>
            </w:r>
            <w:r>
              <w:rPr>
                <w:rFonts w:hint="eastAsia"/>
              </w:rPr>
              <w:t>4</w:t>
            </w:r>
            <w:r>
              <w:t>-01)</w:t>
            </w:r>
            <w:r>
              <w:rPr>
                <w:rFonts w:hint="eastAsia"/>
              </w:rPr>
              <w:t>四类，医疗废物应分类收集后委托楚雄利盈医疗废物处理有限公司处置。</w:t>
            </w:r>
          </w:p>
          <w:p>
            <w:pPr>
              <w:ind w:firstLine="48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t>办公、生活垃圾</w:t>
            </w:r>
          </w:p>
          <w:p>
            <w:pPr>
              <w:ind w:firstLine="480"/>
            </w:pPr>
            <w:r>
              <w:rPr>
                <w:rFonts w:hint="eastAsia"/>
              </w:rPr>
              <w:t>本项目共有职工24名，年接诊0.25万余次，住院200余人次。职工及住院人员生活垃圾产生量按1kg/人•d计，门诊就诊人员生活垃圾产生量按0.2kg/人次计，则项目生活垃圾产生量约97.4kg/d，合年产生量约35.55t/a。</w:t>
            </w:r>
          </w:p>
          <w:p>
            <w:pPr>
              <w:ind w:firstLine="480"/>
              <w:jc w:val="left"/>
              <w:rPr>
                <w:rFonts w:eastAsia="宋体" w:cs="Times New Roman"/>
                <w:szCs w:val="24"/>
              </w:rPr>
            </w:pPr>
            <w:r>
              <w:rPr>
                <w:rFonts w:hint="eastAsia" w:eastAsia="宋体" w:cs="Times New Roman"/>
                <w:szCs w:val="24"/>
              </w:rPr>
              <w:t>项目生活垃圾通过内部保洁员清理收集后运至项目区外的垃圾收集箱，每天定时由环卫部门清运处置。</w:t>
            </w:r>
          </w:p>
          <w:p>
            <w:pPr>
              <w:ind w:firstLine="48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t>污水处理污泥</w:t>
            </w:r>
          </w:p>
          <w:p>
            <w:pPr>
              <w:ind w:firstLine="480"/>
              <w:rPr>
                <w:rFonts w:eastAsia="宋体" w:cs="Times New Roman"/>
                <w:spacing w:val="-6"/>
                <w:kern w:val="0"/>
                <w:szCs w:val="24"/>
              </w:rPr>
            </w:pPr>
            <w:r>
              <w:t>医疗单位废水处理污泥，由医院废水处理设施产生，也属于医疗废物。污泥包含化粪池污泥和污水处理</w:t>
            </w:r>
            <w:r>
              <w:rPr>
                <w:rFonts w:hint="eastAsia"/>
              </w:rPr>
              <w:t>站</w:t>
            </w:r>
            <w:r>
              <w:t>污泥。</w:t>
            </w:r>
            <w:r>
              <w:rPr>
                <w:rFonts w:hint="eastAsia"/>
              </w:rPr>
              <w:t>本项目</w:t>
            </w:r>
            <w:r>
              <w:rPr>
                <w:rFonts w:hint="eastAsia" w:eastAsia="宋体" w:cs="Times New Roman"/>
              </w:rPr>
              <w:t>医院废水产生量约为</w:t>
            </w:r>
            <w:r>
              <w:rPr>
                <w:rFonts w:hint="eastAsia" w:eastAsia="宋体"/>
              </w:rPr>
              <w:t>4241.3</w:t>
            </w:r>
            <w:r>
              <w:rPr>
                <w:rFonts w:eastAsia="宋体" w:cs="Times New Roman"/>
              </w:rPr>
              <w:t>t/a</w:t>
            </w:r>
            <w:r>
              <w:rPr>
                <w:rFonts w:hint="eastAsia" w:eastAsia="宋体" w:cs="Times New Roman"/>
              </w:rPr>
              <w:t>，污泥产生量按废水量的</w:t>
            </w:r>
            <w:r>
              <w:rPr>
                <w:rFonts w:eastAsia="宋体" w:cs="Times New Roman"/>
              </w:rPr>
              <w:t>0.2%</w:t>
            </w:r>
            <w:r>
              <w:rPr>
                <w:rFonts w:hint="eastAsia" w:eastAsia="宋体" w:cs="Times New Roman"/>
              </w:rPr>
              <w:t>计，则污泥的产生量约</w:t>
            </w:r>
            <w:r>
              <w:rPr>
                <w:rFonts w:hint="eastAsia" w:eastAsia="宋体"/>
              </w:rPr>
              <w:t>8.74</w:t>
            </w:r>
            <w:r>
              <w:rPr>
                <w:rFonts w:eastAsia="宋体" w:cs="Times New Roman"/>
              </w:rPr>
              <w:t>t/a</w:t>
            </w:r>
            <w:r>
              <w:rPr>
                <w:rFonts w:hint="eastAsia" w:eastAsia="宋体" w:cs="Times New Roman"/>
              </w:rPr>
              <w:t>。</w:t>
            </w:r>
            <w:r>
              <w:rPr>
                <w:rFonts w:hint="eastAsia" w:ascii="宋体" w:hAnsi="宋体" w:cs="宋体"/>
              </w:rPr>
              <w:t>根据</w:t>
            </w:r>
            <w:r>
              <w:rPr>
                <w:rFonts w:hint="eastAsia" w:ascii="宋体" w:hAnsi="宋体" w:eastAsia="宋体" w:cs="宋体"/>
                <w:kern w:val="0"/>
                <w:szCs w:val="24"/>
                <w:lang w:bidi="ar"/>
              </w:rPr>
              <w:t>《国家危险废物名录》（20</w:t>
            </w:r>
            <w:r>
              <w:rPr>
                <w:rFonts w:hint="eastAsia" w:ascii="宋体" w:hAnsi="宋体" w:cs="宋体"/>
                <w:kern w:val="0"/>
                <w:szCs w:val="24"/>
                <w:lang w:bidi="ar"/>
              </w:rPr>
              <w:t>21</w:t>
            </w:r>
            <w:r>
              <w:rPr>
                <w:rFonts w:hint="eastAsia" w:ascii="宋体" w:hAnsi="宋体" w:eastAsia="宋体" w:cs="宋体"/>
                <w:kern w:val="0"/>
                <w:szCs w:val="24"/>
                <w:lang w:bidi="ar"/>
              </w:rPr>
              <w:t>年</w:t>
            </w:r>
            <w:r>
              <w:rPr>
                <w:rFonts w:hint="eastAsia" w:ascii="宋体" w:hAnsi="宋体" w:cs="宋体"/>
                <w:kern w:val="0"/>
                <w:szCs w:val="24"/>
                <w:lang w:bidi="ar"/>
              </w:rPr>
              <w:t>版</w:t>
            </w:r>
            <w:r>
              <w:rPr>
                <w:rFonts w:hint="eastAsia" w:ascii="宋体" w:hAnsi="宋体" w:eastAsia="宋体" w:cs="宋体"/>
                <w:kern w:val="0"/>
                <w:szCs w:val="24"/>
                <w:lang w:bidi="ar"/>
              </w:rPr>
              <w:t>）可知，</w:t>
            </w:r>
            <w:r>
              <w:rPr>
                <w:rFonts w:hint="eastAsia" w:ascii="宋体" w:hAnsi="宋体" w:cs="宋体"/>
              </w:rPr>
              <w:t>化粪池和污水处理站污泥未纳入危废管理名录，</w:t>
            </w:r>
            <w:r>
              <w:rPr>
                <w:rFonts w:eastAsia="宋体" w:cs="Times New Roman"/>
                <w:spacing w:val="-6"/>
                <w:kern w:val="0"/>
                <w:szCs w:val="24"/>
              </w:rPr>
              <w:t>处置方式为</w:t>
            </w:r>
            <w:r>
              <w:rPr>
                <w:rFonts w:hint="eastAsia" w:eastAsia="宋体" w:cs="Times New Roman"/>
                <w:spacing w:val="-6"/>
                <w:szCs w:val="24"/>
              </w:rPr>
              <w:t>投加消毒剂消毒后委托环卫部门清运处置</w:t>
            </w:r>
            <w:r>
              <w:rPr>
                <w:rFonts w:eastAsia="宋体" w:cs="Times New Roman"/>
                <w:spacing w:val="-6"/>
                <w:kern w:val="0"/>
                <w:szCs w:val="24"/>
              </w:rPr>
              <w:t>，清理频率为1-2次/年。</w:t>
            </w:r>
          </w:p>
          <w:p>
            <w:pPr>
              <w:ind w:firstLine="482"/>
              <w:rPr>
                <w:b/>
              </w:rPr>
            </w:pPr>
            <w:r>
              <w:rPr>
                <w:rFonts w:hint="eastAsia"/>
                <w:b/>
              </w:rPr>
              <w:t>（2）处置去向及管理要求</w:t>
            </w:r>
          </w:p>
          <w:p>
            <w:pPr>
              <w:ind w:firstLine="480"/>
              <w:jc w:val="left"/>
              <w:rPr>
                <w:rFonts w:eastAsia="宋体" w:cs="Times New Roman"/>
                <w:szCs w:val="24"/>
              </w:rPr>
            </w:pPr>
            <w:r>
              <w:rPr>
                <w:rFonts w:eastAsia="宋体" w:cs="Times New Roman"/>
                <w:szCs w:val="24"/>
              </w:rPr>
              <w:fldChar w:fldCharType="begin"/>
            </w:r>
            <w:r>
              <w:rPr>
                <w:rFonts w:eastAsia="宋体" w:cs="Times New Roman"/>
                <w:szCs w:val="24"/>
              </w:rPr>
              <w:instrText xml:space="preserve"> </w:instrText>
            </w:r>
            <w:r>
              <w:rPr>
                <w:rFonts w:hint="eastAsia" w:eastAsia="宋体" w:cs="Times New Roman"/>
                <w:szCs w:val="24"/>
              </w:rPr>
              <w:instrText xml:space="preserve">= 1 \* GB3</w:instrText>
            </w:r>
            <w:r>
              <w:rPr>
                <w:rFonts w:eastAsia="宋体" w:cs="Times New Roman"/>
                <w:szCs w:val="24"/>
              </w:rPr>
              <w:instrText xml:space="preserve"> </w:instrText>
            </w:r>
            <w:r>
              <w:rPr>
                <w:rFonts w:eastAsia="宋体" w:cs="Times New Roman"/>
                <w:szCs w:val="24"/>
              </w:rPr>
              <w:fldChar w:fldCharType="separate"/>
            </w:r>
            <w:r>
              <w:rPr>
                <w:rFonts w:hint="eastAsia" w:eastAsia="宋体" w:cs="Times New Roman"/>
                <w:szCs w:val="24"/>
              </w:rPr>
              <w:t>①</w:t>
            </w:r>
            <w:r>
              <w:rPr>
                <w:rFonts w:eastAsia="宋体" w:cs="Times New Roman"/>
                <w:szCs w:val="24"/>
              </w:rPr>
              <w:fldChar w:fldCharType="end"/>
            </w:r>
            <w:r>
              <w:rPr>
                <w:rFonts w:hint="eastAsia" w:eastAsia="宋体" w:cs="Times New Roman"/>
                <w:szCs w:val="24"/>
              </w:rPr>
              <w:t>生活垃圾</w:t>
            </w:r>
          </w:p>
          <w:p>
            <w:pPr>
              <w:ind w:firstLine="480"/>
              <w:jc w:val="left"/>
              <w:rPr>
                <w:rFonts w:eastAsia="宋体" w:cs="Times New Roman"/>
                <w:szCs w:val="24"/>
              </w:rPr>
            </w:pPr>
            <w:r>
              <w:rPr>
                <w:rFonts w:hint="eastAsia" w:eastAsia="宋体" w:cs="Times New Roman"/>
                <w:szCs w:val="24"/>
              </w:rPr>
              <w:t>生活垃圾经分类收集后可回收部分回收利用，不可回收部分收集于垃圾收集桶内，委托当地环卫部门定期清运处置，对周围环境影响不大。</w:t>
            </w:r>
          </w:p>
          <w:p>
            <w:pPr>
              <w:ind w:firstLine="48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医疗废物</w:t>
            </w:r>
          </w:p>
          <w:p>
            <w:pPr>
              <w:ind w:firstLine="480"/>
            </w:pPr>
            <w:r>
              <w:rPr>
                <w:rFonts w:hint="eastAsia"/>
              </w:rPr>
              <w:t>按照《国家危险废物名录》的分类，医疗废物为危险废物（编号HW01），应严格按照《医疗废物管理条例》要求，对其收集、运送、贮存、处理处置过程统一监督管理，必须由具有相应资质的处置单位进行清运集中处置。</w:t>
            </w:r>
          </w:p>
          <w:p>
            <w:pPr>
              <w:ind w:firstLine="480"/>
            </w:pPr>
            <w:r>
              <w:rPr>
                <w:rFonts w:hint="eastAsia"/>
              </w:rPr>
              <w:t>项目已建设一座20m</w:t>
            </w:r>
            <w:r>
              <w:rPr>
                <w:rFonts w:hint="eastAsia"/>
                <w:vertAlign w:val="superscript"/>
              </w:rPr>
              <w:t>2</w:t>
            </w:r>
            <w:r>
              <w:rPr>
                <w:rFonts w:hint="eastAsia"/>
              </w:rPr>
              <w:t>的医疗废物暂存间，分类收集后定期委托有资质的单位处置。项目医疗固废已经和楚雄利盈医疗废物处理有限公司签订了委托协议，定期由该公司上门清运并处置；检验室废液将委托有资质的单位处置。项目医疗废物得到规范处置对环境影响较小。</w:t>
            </w:r>
          </w:p>
          <w:p>
            <w:pPr>
              <w:ind w:firstLine="480"/>
              <w:rPr>
                <w:rFonts w:ascii="宋体" w:hAnsi="宋体"/>
                <w:color w:val="0000FF"/>
                <w:szCs w:val="24"/>
              </w:rPr>
            </w:pPr>
            <w:r>
              <w:rPr>
                <w:rFonts w:hint="eastAsia"/>
                <w:color w:val="0000FF"/>
              </w:rPr>
              <w:t>根据本项目与楚雄利盈医疗废物处理有限公司已签订的《医疗废物委托处置合同书》（见附件2），该合同有效期为2021年7月16日—2021年12月31日，该合同即将到期。</w:t>
            </w:r>
            <w:r>
              <w:rPr>
                <w:rFonts w:cs="Times New Roman"/>
                <w:color w:val="0000FF"/>
              </w:rPr>
              <w:t>楚雄州姚安县医疗废弃物收集转运站</w:t>
            </w:r>
            <w:r>
              <w:rPr>
                <w:rFonts w:hint="eastAsia" w:cs="Times New Roman"/>
                <w:color w:val="0000FF"/>
              </w:rPr>
              <w:t>于2021年5月建成，</w:t>
            </w:r>
            <w:r>
              <w:rPr>
                <w:rFonts w:cs="Times New Roman"/>
                <w:color w:val="0000FF"/>
              </w:rPr>
              <w:t>2021年8月底建成投入试运营</w:t>
            </w:r>
            <w:r>
              <w:rPr>
                <w:rFonts w:hint="eastAsia" w:cs="Times New Roman"/>
                <w:color w:val="0000FF"/>
              </w:rPr>
              <w:t>，</w:t>
            </w:r>
            <w:r>
              <w:rPr>
                <w:rFonts w:eastAsia="宋体" w:cs="Times New Roman"/>
                <w:color w:val="0000FF"/>
                <w:szCs w:val="24"/>
                <w:lang w:bidi="ar"/>
              </w:rPr>
              <w:t>20</w:t>
            </w:r>
            <w:r>
              <w:rPr>
                <w:rFonts w:cs="Times New Roman"/>
                <w:color w:val="0000FF"/>
                <w:szCs w:val="24"/>
                <w:lang w:bidi="ar"/>
              </w:rPr>
              <w:t>21</w:t>
            </w:r>
            <w:r>
              <w:rPr>
                <w:rFonts w:eastAsia="宋体" w:cs="Times New Roman"/>
                <w:color w:val="0000FF"/>
                <w:szCs w:val="24"/>
                <w:lang w:bidi="ar"/>
              </w:rPr>
              <w:t>年</w:t>
            </w:r>
            <w:r>
              <w:rPr>
                <w:rFonts w:hint="eastAsia" w:cs="Times New Roman"/>
                <w:color w:val="0000FF"/>
                <w:szCs w:val="24"/>
                <w:lang w:bidi="ar"/>
              </w:rPr>
              <w:t>10</w:t>
            </w:r>
            <w:r>
              <w:rPr>
                <w:rFonts w:eastAsia="宋体" w:cs="Times New Roman"/>
                <w:color w:val="0000FF"/>
                <w:szCs w:val="24"/>
                <w:lang w:bidi="ar"/>
              </w:rPr>
              <w:t>月</w:t>
            </w:r>
            <w:r>
              <w:rPr>
                <w:rFonts w:hint="eastAsia" w:eastAsia="宋体" w:cs="Times New Roman"/>
                <w:color w:val="0000FF"/>
                <w:szCs w:val="24"/>
                <w:lang w:bidi="ar"/>
              </w:rPr>
              <w:t>完成环保竣工验收。基于本项目</w:t>
            </w:r>
            <w:r>
              <w:rPr>
                <w:rFonts w:hint="eastAsia"/>
                <w:color w:val="0000FF"/>
              </w:rPr>
              <w:t>与楚雄利盈医疗废物处理有限公司已签订的医疗废物处置合同即将到期，环评要求建设单位与</w:t>
            </w:r>
            <w:r>
              <w:rPr>
                <w:rFonts w:hint="eastAsia" w:ascii="宋体" w:hAnsi="宋体"/>
                <w:color w:val="0000FF"/>
                <w:szCs w:val="24"/>
              </w:rPr>
              <w:t>姚安县卫生健康局或有相关医疗废物清运处置资质的单位尽快签订新的医疗废物清运处置协议，做好目前合同到期后的衔接工作，避免医疗废物长时间滞留在项目区，违反</w:t>
            </w:r>
            <w:r>
              <w:rPr>
                <w:rFonts w:hint="eastAsia"/>
                <w:color w:val="0000FF"/>
              </w:rPr>
              <w:t>《医疗废物管理条例》及《医疗卫生机构医疗废物管理办法》中的相关规定，</w:t>
            </w:r>
            <w:r>
              <w:rPr>
                <w:rFonts w:hint="eastAsia" w:ascii="宋体" w:hAnsi="宋体"/>
                <w:color w:val="0000FF"/>
                <w:szCs w:val="24"/>
              </w:rPr>
              <w:t>造成环境污染。</w:t>
            </w:r>
          </w:p>
          <w:p>
            <w:pPr>
              <w:ind w:firstLine="480"/>
            </w:pPr>
            <w:r>
              <w:rPr>
                <w:rFonts w:hint="eastAsia"/>
              </w:rPr>
              <w:t>根据《危险废物贮存污染控制标准》危废暂存间应达到以下要求：</w:t>
            </w:r>
          </w:p>
          <w:p>
            <w:pPr>
              <w:widowControl/>
              <w:ind w:firstLine="480"/>
              <w:jc w:val="left"/>
              <w:rPr>
                <w:rFonts w:ascii="宋体" w:hAnsi="宋体" w:eastAsia="宋体" w:cs="宋体"/>
                <w:kern w:val="0"/>
                <w:szCs w:val="24"/>
                <w:lang w:bidi="ar"/>
              </w:rPr>
            </w:pPr>
            <w:r>
              <w:rPr>
                <w:rFonts w:hint="eastAsia" w:ascii="宋体" w:hAnsi="宋体" w:eastAsia="宋体" w:cs="宋体"/>
                <w:kern w:val="0"/>
                <w:szCs w:val="24"/>
                <w:lang w:bidi="ar"/>
              </w:rPr>
              <w:t>a、远离医疗区、人员活动区和生活垃圾存放场所，方便医疗废物运送人员及运送工具、车辆的出入；</w:t>
            </w:r>
          </w:p>
          <w:p>
            <w:pPr>
              <w:widowControl/>
              <w:ind w:firstLine="480"/>
              <w:jc w:val="left"/>
              <w:rPr>
                <w:rFonts w:ascii="宋体" w:hAnsi="宋体" w:eastAsia="宋体" w:cs="宋体"/>
                <w:kern w:val="0"/>
                <w:szCs w:val="24"/>
                <w:lang w:bidi="ar"/>
              </w:rPr>
            </w:pPr>
            <w:r>
              <w:rPr>
                <w:rFonts w:hint="eastAsia" w:ascii="宋体" w:hAnsi="宋体" w:eastAsia="宋体" w:cs="宋体"/>
                <w:kern w:val="0"/>
                <w:szCs w:val="24"/>
                <w:lang w:bidi="ar"/>
              </w:rPr>
              <w:t>b、有严密的封闭措施，设专（兼）职人员管理，防止非工作人员接触医疗废物；有防鼠、防蚊蝇、防蟑螂的安全措施；防止渗漏和雨水冲刷；易于清洁和消毒；避免阳光直射；</w:t>
            </w:r>
          </w:p>
          <w:p>
            <w:pPr>
              <w:widowControl/>
              <w:ind w:firstLine="480"/>
              <w:jc w:val="left"/>
              <w:rPr>
                <w:rFonts w:ascii="宋体" w:hAnsi="宋体" w:eastAsia="宋体" w:cs="宋体"/>
                <w:kern w:val="0"/>
                <w:szCs w:val="24"/>
                <w:lang w:bidi="ar"/>
              </w:rPr>
            </w:pPr>
            <w:r>
              <w:rPr>
                <w:rFonts w:hint="eastAsia" w:ascii="宋体" w:hAnsi="宋体" w:eastAsia="宋体" w:cs="宋体"/>
                <w:kern w:val="0"/>
                <w:szCs w:val="24"/>
                <w:lang w:bidi="ar"/>
              </w:rPr>
              <w:t>c、设有明显的医疗废物警示标识和“禁止吸烟、饮食”的警示标识；</w:t>
            </w:r>
          </w:p>
          <w:p>
            <w:pPr>
              <w:widowControl/>
              <w:ind w:firstLine="480"/>
              <w:jc w:val="left"/>
              <w:rPr>
                <w:rFonts w:ascii="宋体" w:hAnsi="宋体" w:eastAsia="宋体" w:cs="宋体"/>
                <w:kern w:val="0"/>
                <w:szCs w:val="24"/>
                <w:lang w:bidi="ar"/>
              </w:rPr>
            </w:pPr>
            <w:r>
              <w:rPr>
                <w:rFonts w:hint="eastAsia" w:ascii="宋体" w:hAnsi="宋体" w:eastAsia="宋体" w:cs="宋体"/>
                <w:kern w:val="0"/>
                <w:szCs w:val="24"/>
                <w:lang w:bidi="ar"/>
              </w:rPr>
              <w:t>d、暂时贮存病理性废物，应当具备低温贮存或者防腐条件。对于感染性废料和锐利废物，其贮存地应有“生物危险”标志和进入管理限制，且应位于产生废物地点附近。同时感染性废物和锐利废物的贮存应满足以下要求：</w:t>
            </w:r>
          </w:p>
          <w:p>
            <w:pPr>
              <w:widowControl/>
              <w:ind w:firstLine="480"/>
              <w:jc w:val="left"/>
              <w:rPr>
                <w:rFonts w:ascii="宋体" w:hAnsi="宋体" w:eastAsia="宋体" w:cs="宋体"/>
                <w:kern w:val="0"/>
                <w:szCs w:val="24"/>
                <w:lang w:bidi="ar"/>
              </w:rPr>
            </w:pPr>
            <w:r>
              <w:rPr>
                <w:rFonts w:hint="eastAsia" w:ascii="宋体" w:hAnsi="宋体" w:eastAsia="宋体" w:cs="宋体"/>
                <w:kern w:val="0"/>
                <w:szCs w:val="24"/>
                <w:lang w:bidi="ar"/>
              </w:rPr>
              <w:t>e、保证包装内容物不暴露于空气和受潮；</w:t>
            </w:r>
          </w:p>
          <w:p>
            <w:pPr>
              <w:widowControl/>
              <w:ind w:firstLine="480"/>
              <w:jc w:val="left"/>
              <w:rPr>
                <w:rFonts w:ascii="宋体" w:hAnsi="宋体" w:eastAsia="宋体" w:cs="宋体"/>
                <w:kern w:val="0"/>
                <w:szCs w:val="24"/>
                <w:lang w:bidi="ar"/>
              </w:rPr>
            </w:pPr>
            <w:r>
              <w:rPr>
                <w:rFonts w:hint="eastAsia" w:ascii="宋体" w:hAnsi="宋体" w:eastAsia="宋体" w:cs="宋体"/>
                <w:kern w:val="0"/>
                <w:szCs w:val="24"/>
                <w:lang w:bidi="ar"/>
              </w:rPr>
              <w:t>f、保存温度及时间应使保存物无腐败发生，必要时，可用低温保存，以防微生物生长和产生异味；</w:t>
            </w:r>
          </w:p>
          <w:p>
            <w:pPr>
              <w:widowControl/>
              <w:ind w:firstLine="480"/>
              <w:jc w:val="left"/>
              <w:rPr>
                <w:rFonts w:ascii="宋体" w:hAnsi="宋体" w:eastAsia="宋体" w:cs="宋体"/>
                <w:kern w:val="0"/>
                <w:szCs w:val="24"/>
                <w:lang w:bidi="ar"/>
              </w:rPr>
            </w:pPr>
            <w:r>
              <w:rPr>
                <w:rFonts w:hint="eastAsia" w:ascii="宋体" w:hAnsi="宋体" w:eastAsia="宋体" w:cs="宋体"/>
                <w:kern w:val="0"/>
                <w:szCs w:val="24"/>
                <w:lang w:bidi="ar"/>
              </w:rPr>
              <w:t>g、贮存地及包装应确保内容物不成为鼠类或其它生物的食物来源；</w:t>
            </w:r>
          </w:p>
          <w:p>
            <w:pPr>
              <w:widowControl/>
              <w:ind w:firstLine="480"/>
              <w:jc w:val="left"/>
              <w:rPr>
                <w:rFonts w:ascii="宋体" w:hAnsi="宋体" w:eastAsia="宋体" w:cs="宋体"/>
                <w:kern w:val="0"/>
                <w:szCs w:val="24"/>
                <w:lang w:bidi="ar"/>
              </w:rPr>
            </w:pPr>
            <w:r>
              <w:rPr>
                <w:rFonts w:hint="eastAsia" w:ascii="宋体" w:hAnsi="宋体" w:eastAsia="宋体" w:cs="宋体"/>
                <w:kern w:val="0"/>
                <w:szCs w:val="24"/>
                <w:lang w:bidi="ar"/>
              </w:rPr>
              <w:t>h、贮存地不得对公众开放。</w:t>
            </w:r>
          </w:p>
          <w:p>
            <w:pPr>
              <w:widowControl/>
              <w:ind w:firstLine="480"/>
              <w:jc w:val="left"/>
              <w:rPr>
                <w:rFonts w:ascii="宋体" w:hAnsi="宋体" w:eastAsia="宋体" w:cs="宋体"/>
                <w:kern w:val="0"/>
                <w:szCs w:val="24"/>
                <w:lang w:bidi="ar"/>
              </w:rPr>
            </w:pPr>
            <w:r>
              <w:rPr>
                <w:rFonts w:hint="eastAsia" w:ascii="宋体" w:hAnsi="宋体" w:eastAsia="宋体" w:cs="宋体"/>
                <w:kern w:val="0"/>
                <w:szCs w:val="24"/>
                <w:lang w:bidi="ar"/>
              </w:rPr>
              <w:t>医疗废物转交出去后，应当对暂时贮存地点、设施及时进行清洁和消毒处理。</w:t>
            </w:r>
          </w:p>
          <w:p>
            <w:pPr>
              <w:widowControl/>
              <w:ind w:firstLine="480"/>
              <w:jc w:val="left"/>
              <w:rPr>
                <w:rFonts w:eastAsia="宋体" w:cs="Times New Roman"/>
                <w:b/>
                <w:szCs w:val="24"/>
              </w:rPr>
            </w:pPr>
            <w:r>
              <w:rPr>
                <w:rFonts w:hint="eastAsia" w:ascii="宋体" w:hAnsi="宋体" w:eastAsia="宋体" w:cs="宋体"/>
                <w:kern w:val="0"/>
                <w:szCs w:val="24"/>
                <w:lang w:bidi="ar"/>
              </w:rPr>
              <w:t>对于医疗固体废物，禁止将其在非收集、非暂时贮存地点倾倒、堆放；禁止将医疗废物混入其它废物和生活垃圾；禁止在内部运送过程中丢弃医疗废物。</w:t>
            </w:r>
          </w:p>
          <w:p>
            <w:pPr>
              <w:ind w:firstLine="480"/>
            </w:pPr>
            <w:r>
              <w:rPr>
                <w:rFonts w:hint="eastAsia"/>
              </w:rPr>
              <w:t>按规范填写危险固体废弃物转移联单，建立危险固体废弃物管理台</w:t>
            </w:r>
            <w:r>
              <w:rPr>
                <w:rFonts w:hint="eastAsia"/>
                <w:lang w:eastAsia="zh-CN"/>
              </w:rPr>
              <w:t>账</w:t>
            </w:r>
            <w:r>
              <w:rPr>
                <w:rFonts w:hint="eastAsia"/>
              </w:rPr>
              <w:t>制度。</w:t>
            </w:r>
            <w:r>
              <w:rPr>
                <w:rFonts w:hint="eastAsia" w:eastAsia="宋体" w:cs="Times New Roman"/>
                <w:spacing w:val="-6"/>
                <w:kern w:val="0"/>
                <w:szCs w:val="24"/>
              </w:rPr>
              <w:t>项目应加强固废管理，完善危险废物收集、转移台账记录。</w:t>
            </w:r>
          </w:p>
          <w:p>
            <w:pPr>
              <w:pStyle w:val="66"/>
            </w:pPr>
          </w:p>
          <w:p>
            <w:pPr>
              <w:pStyle w:val="66"/>
            </w:pPr>
            <w:r>
              <w:rPr>
                <w:rFonts w:hint="eastAsia"/>
              </w:rPr>
              <w:t>表4-13  项目固体废物产生量一览表</w:t>
            </w:r>
          </w:p>
          <w:tbl>
            <w:tblPr>
              <w:tblStyle w:val="37"/>
              <w:tblW w:w="7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2575"/>
              <w:gridCol w:w="1896"/>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5"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产污环节</w:t>
                  </w:r>
                </w:p>
              </w:tc>
              <w:tc>
                <w:tcPr>
                  <w:tcW w:w="2575"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病人就诊过程</w:t>
                  </w:r>
                </w:p>
              </w:tc>
              <w:tc>
                <w:tcPr>
                  <w:tcW w:w="1896"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废水处理</w:t>
                  </w:r>
                </w:p>
              </w:tc>
              <w:tc>
                <w:tcPr>
                  <w:tcW w:w="1747"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员工生活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5"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名称</w:t>
                  </w:r>
                </w:p>
              </w:tc>
              <w:tc>
                <w:tcPr>
                  <w:tcW w:w="2575"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医疗废物、检验室废液</w:t>
                  </w:r>
                </w:p>
              </w:tc>
              <w:tc>
                <w:tcPr>
                  <w:tcW w:w="1896"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污泥</w:t>
                  </w:r>
                </w:p>
              </w:tc>
              <w:tc>
                <w:tcPr>
                  <w:tcW w:w="1747"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5"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属性</w:t>
                  </w:r>
                </w:p>
              </w:tc>
              <w:tc>
                <w:tcPr>
                  <w:tcW w:w="2575"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危险固废</w:t>
                  </w:r>
                </w:p>
              </w:tc>
              <w:tc>
                <w:tcPr>
                  <w:tcW w:w="1896"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一般工业固废</w:t>
                  </w:r>
                </w:p>
              </w:tc>
              <w:tc>
                <w:tcPr>
                  <w:tcW w:w="1747"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exact"/>
                <w:jc w:val="center"/>
              </w:trPr>
              <w:tc>
                <w:tcPr>
                  <w:tcW w:w="1485"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编码</w:t>
                  </w:r>
                </w:p>
              </w:tc>
              <w:tc>
                <w:tcPr>
                  <w:tcW w:w="2575" w:type="dxa"/>
                  <w:vAlign w:val="center"/>
                </w:tcPr>
                <w:p>
                  <w:pPr>
                    <w:widowControl/>
                    <w:spacing w:line="0" w:lineRule="atLeast"/>
                    <w:ind w:firstLine="0" w:firstLineChars="0"/>
                    <w:jc w:val="center"/>
                    <w:rPr>
                      <w:sz w:val="21"/>
                      <w:szCs w:val="21"/>
                    </w:rPr>
                  </w:pPr>
                  <w:r>
                    <w:rPr>
                      <w:rFonts w:hint="eastAsia"/>
                      <w:sz w:val="21"/>
                      <w:szCs w:val="21"/>
                    </w:rPr>
                    <w:t>感染性废物</w:t>
                  </w:r>
                  <w:r>
                    <w:rPr>
                      <w:sz w:val="21"/>
                      <w:szCs w:val="21"/>
                    </w:rPr>
                    <w:t>(8</w:t>
                  </w:r>
                  <w:r>
                    <w:rPr>
                      <w:rFonts w:hint="eastAsia"/>
                      <w:sz w:val="21"/>
                      <w:szCs w:val="21"/>
                    </w:rPr>
                    <w:t>4</w:t>
                  </w:r>
                  <w:r>
                    <w:rPr>
                      <w:sz w:val="21"/>
                      <w:szCs w:val="21"/>
                    </w:rPr>
                    <w:t>1-001-01)</w:t>
                  </w:r>
                </w:p>
                <w:p>
                  <w:pPr>
                    <w:widowControl/>
                    <w:spacing w:line="0" w:lineRule="atLeast"/>
                    <w:ind w:firstLine="0" w:firstLineChars="0"/>
                    <w:jc w:val="center"/>
                    <w:rPr>
                      <w:sz w:val="21"/>
                      <w:szCs w:val="21"/>
                    </w:rPr>
                  </w:pPr>
                  <w:r>
                    <w:rPr>
                      <w:rFonts w:hint="eastAsia"/>
                      <w:sz w:val="21"/>
                      <w:szCs w:val="21"/>
                    </w:rPr>
                    <w:t>损伤性废物</w:t>
                  </w:r>
                  <w:r>
                    <w:rPr>
                      <w:sz w:val="21"/>
                      <w:szCs w:val="21"/>
                    </w:rPr>
                    <w:t>(8</w:t>
                  </w:r>
                  <w:r>
                    <w:rPr>
                      <w:rFonts w:hint="eastAsia"/>
                      <w:sz w:val="21"/>
                      <w:szCs w:val="21"/>
                    </w:rPr>
                    <w:t>4</w:t>
                  </w:r>
                  <w:r>
                    <w:rPr>
                      <w:sz w:val="21"/>
                      <w:szCs w:val="21"/>
                    </w:rPr>
                    <w:t>1-00</w:t>
                  </w:r>
                  <w:r>
                    <w:rPr>
                      <w:rFonts w:hint="eastAsia"/>
                      <w:sz w:val="21"/>
                      <w:szCs w:val="21"/>
                    </w:rPr>
                    <w:t>2</w:t>
                  </w:r>
                  <w:r>
                    <w:rPr>
                      <w:sz w:val="21"/>
                      <w:szCs w:val="21"/>
                    </w:rPr>
                    <w:t>-01)</w:t>
                  </w:r>
                </w:p>
                <w:p>
                  <w:pPr>
                    <w:widowControl/>
                    <w:spacing w:line="0" w:lineRule="atLeast"/>
                    <w:ind w:firstLine="0" w:firstLineChars="0"/>
                    <w:jc w:val="center"/>
                    <w:rPr>
                      <w:sz w:val="21"/>
                      <w:szCs w:val="21"/>
                    </w:rPr>
                  </w:pPr>
                  <w:r>
                    <w:rPr>
                      <w:rFonts w:hint="eastAsia"/>
                      <w:sz w:val="21"/>
                      <w:szCs w:val="21"/>
                    </w:rPr>
                    <w:t>药物性废物</w:t>
                  </w:r>
                  <w:r>
                    <w:rPr>
                      <w:sz w:val="21"/>
                      <w:szCs w:val="21"/>
                    </w:rPr>
                    <w:t>(8</w:t>
                  </w:r>
                  <w:r>
                    <w:rPr>
                      <w:rFonts w:hint="eastAsia"/>
                      <w:sz w:val="21"/>
                      <w:szCs w:val="21"/>
                    </w:rPr>
                    <w:t>4</w:t>
                  </w:r>
                  <w:r>
                    <w:rPr>
                      <w:sz w:val="21"/>
                      <w:szCs w:val="21"/>
                    </w:rPr>
                    <w:t>1-00</w:t>
                  </w:r>
                  <w:r>
                    <w:rPr>
                      <w:rFonts w:hint="eastAsia"/>
                      <w:sz w:val="21"/>
                      <w:szCs w:val="21"/>
                    </w:rPr>
                    <w:t>5</w:t>
                  </w:r>
                  <w:r>
                    <w:rPr>
                      <w:sz w:val="21"/>
                      <w:szCs w:val="21"/>
                    </w:rPr>
                    <w:t>-01)</w:t>
                  </w:r>
                </w:p>
                <w:p>
                  <w:pPr>
                    <w:widowControl/>
                    <w:spacing w:line="0" w:lineRule="atLeast"/>
                    <w:ind w:firstLine="0" w:firstLineChars="0"/>
                    <w:jc w:val="center"/>
                    <w:rPr>
                      <w:sz w:val="21"/>
                      <w:szCs w:val="21"/>
                    </w:rPr>
                  </w:pPr>
                  <w:r>
                    <w:rPr>
                      <w:rFonts w:hint="eastAsia"/>
                      <w:sz w:val="21"/>
                      <w:szCs w:val="21"/>
                    </w:rPr>
                    <w:t>化学性废液</w:t>
                  </w:r>
                  <w:r>
                    <w:rPr>
                      <w:sz w:val="21"/>
                      <w:szCs w:val="21"/>
                    </w:rPr>
                    <w:t>(8</w:t>
                  </w:r>
                  <w:r>
                    <w:rPr>
                      <w:rFonts w:hint="eastAsia"/>
                      <w:sz w:val="21"/>
                      <w:szCs w:val="21"/>
                    </w:rPr>
                    <w:t>4</w:t>
                  </w:r>
                  <w:r>
                    <w:rPr>
                      <w:sz w:val="21"/>
                      <w:szCs w:val="21"/>
                    </w:rPr>
                    <w:t>1-00</w:t>
                  </w:r>
                  <w:r>
                    <w:rPr>
                      <w:rFonts w:hint="eastAsia"/>
                      <w:sz w:val="21"/>
                      <w:szCs w:val="21"/>
                    </w:rPr>
                    <w:t>4</w:t>
                  </w:r>
                  <w:r>
                    <w:rPr>
                      <w:sz w:val="21"/>
                      <w:szCs w:val="21"/>
                    </w:rPr>
                    <w:t>-01)</w:t>
                  </w:r>
                </w:p>
              </w:tc>
              <w:tc>
                <w:tcPr>
                  <w:tcW w:w="1896"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w:t>
                  </w:r>
                </w:p>
              </w:tc>
              <w:tc>
                <w:tcPr>
                  <w:tcW w:w="1747"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1485"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主要有毒有害物质名称</w:t>
                  </w:r>
                </w:p>
              </w:tc>
              <w:tc>
                <w:tcPr>
                  <w:tcW w:w="2575"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w:t>
                  </w:r>
                </w:p>
              </w:tc>
              <w:tc>
                <w:tcPr>
                  <w:tcW w:w="1896"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w:t>
                  </w:r>
                </w:p>
              </w:tc>
              <w:tc>
                <w:tcPr>
                  <w:tcW w:w="1747"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5"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物理性状</w:t>
                  </w:r>
                </w:p>
              </w:tc>
              <w:tc>
                <w:tcPr>
                  <w:tcW w:w="2575"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固态、液态</w:t>
                  </w:r>
                </w:p>
              </w:tc>
              <w:tc>
                <w:tcPr>
                  <w:tcW w:w="1896"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固态</w:t>
                  </w:r>
                </w:p>
              </w:tc>
              <w:tc>
                <w:tcPr>
                  <w:tcW w:w="1747"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固态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5"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环境危险特性</w:t>
                  </w:r>
                </w:p>
              </w:tc>
              <w:tc>
                <w:tcPr>
                  <w:tcW w:w="2575"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w:t>
                  </w:r>
                </w:p>
              </w:tc>
              <w:tc>
                <w:tcPr>
                  <w:tcW w:w="1896"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w:t>
                  </w:r>
                </w:p>
              </w:tc>
              <w:tc>
                <w:tcPr>
                  <w:tcW w:w="1747"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5"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年产生量</w:t>
                  </w:r>
                </w:p>
              </w:tc>
              <w:tc>
                <w:tcPr>
                  <w:tcW w:w="2575"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17.13t/a；29.2m</w:t>
                  </w:r>
                  <w:r>
                    <w:rPr>
                      <w:rFonts w:hint="eastAsia"/>
                      <w:b w:val="0"/>
                      <w:bCs w:val="0"/>
                      <w:sz w:val="21"/>
                      <w:szCs w:val="21"/>
                      <w:vertAlign w:val="superscript"/>
                    </w:rPr>
                    <w:t>3</w:t>
                  </w:r>
                  <w:r>
                    <w:rPr>
                      <w:rFonts w:hint="eastAsia"/>
                      <w:b w:val="0"/>
                      <w:bCs w:val="0"/>
                      <w:sz w:val="21"/>
                      <w:szCs w:val="21"/>
                    </w:rPr>
                    <w:t>/a</w:t>
                  </w:r>
                </w:p>
              </w:tc>
              <w:tc>
                <w:tcPr>
                  <w:tcW w:w="1896"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8.74t/a</w:t>
                  </w:r>
                </w:p>
              </w:tc>
              <w:tc>
                <w:tcPr>
                  <w:tcW w:w="1747"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35.55t/a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485"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贮存方式</w:t>
                  </w:r>
                </w:p>
              </w:tc>
              <w:tc>
                <w:tcPr>
                  <w:tcW w:w="2575"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桶装、医疗废物暂存间</w:t>
                  </w:r>
                </w:p>
              </w:tc>
              <w:tc>
                <w:tcPr>
                  <w:tcW w:w="1896"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w:t>
                  </w:r>
                </w:p>
              </w:tc>
              <w:tc>
                <w:tcPr>
                  <w:tcW w:w="1747"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桶装、生活垃圾收集箱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exact"/>
                <w:jc w:val="center"/>
              </w:trPr>
              <w:tc>
                <w:tcPr>
                  <w:tcW w:w="1485"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利用处置方式和去向</w:t>
                  </w:r>
                </w:p>
              </w:tc>
              <w:tc>
                <w:tcPr>
                  <w:tcW w:w="2575"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医疗固废委托楚雄利盈医疗废物处理有限公司清运处置；检验室废液委托有资质的单位处置</w:t>
                  </w:r>
                </w:p>
              </w:tc>
              <w:tc>
                <w:tcPr>
                  <w:tcW w:w="1896" w:type="dxa"/>
                  <w:vAlign w:val="center"/>
                </w:tcPr>
                <w:p>
                  <w:pPr>
                    <w:widowControl/>
                    <w:spacing w:line="0" w:lineRule="atLeast"/>
                    <w:ind w:firstLine="0" w:firstLineChars="0"/>
                    <w:jc w:val="center"/>
                  </w:pPr>
                  <w:r>
                    <w:rPr>
                      <w:rFonts w:hint="eastAsia" w:ascii="宋体" w:hAnsi="宋体" w:eastAsia="宋体" w:cs="宋体"/>
                      <w:kern w:val="0"/>
                      <w:sz w:val="20"/>
                      <w:szCs w:val="20"/>
                      <w:lang w:bidi="ar"/>
                    </w:rPr>
                    <w:t>消毒后委托当地环卫部门清运处置</w:t>
                  </w:r>
                </w:p>
                <w:p>
                  <w:pPr>
                    <w:pStyle w:val="33"/>
                    <w:spacing w:before="0" w:after="0" w:line="0" w:lineRule="atLeast"/>
                    <w:ind w:firstLine="0" w:firstLineChars="0"/>
                    <w:jc w:val="center"/>
                    <w:rPr>
                      <w:b w:val="0"/>
                      <w:bCs w:val="0"/>
                      <w:sz w:val="21"/>
                      <w:szCs w:val="21"/>
                    </w:rPr>
                  </w:pPr>
                </w:p>
              </w:tc>
              <w:tc>
                <w:tcPr>
                  <w:tcW w:w="1747" w:type="dxa"/>
                  <w:vAlign w:val="center"/>
                </w:tcPr>
                <w:p>
                  <w:pPr>
                    <w:widowControl/>
                    <w:spacing w:line="0" w:lineRule="atLeast"/>
                    <w:ind w:firstLine="0" w:firstLineChars="0"/>
                    <w:jc w:val="center"/>
                  </w:pPr>
                  <w:r>
                    <w:rPr>
                      <w:rFonts w:hint="eastAsia" w:ascii="宋体" w:hAnsi="宋体" w:eastAsia="宋体" w:cs="宋体"/>
                      <w:kern w:val="0"/>
                      <w:sz w:val="20"/>
                      <w:szCs w:val="20"/>
                      <w:lang w:bidi="ar"/>
                    </w:rPr>
                    <w:t>委托当地环卫部门清运处置</w:t>
                  </w:r>
                </w:p>
                <w:p>
                  <w:pPr>
                    <w:pStyle w:val="33"/>
                    <w:spacing w:before="0" w:after="0" w:line="0" w:lineRule="atLeast"/>
                    <w:ind w:firstLine="0" w:firstLineChars="0"/>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5"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利用或处置量</w:t>
                  </w:r>
                </w:p>
              </w:tc>
              <w:tc>
                <w:tcPr>
                  <w:tcW w:w="2575"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17.16t/a17.13t/a；29.2m</w:t>
                  </w:r>
                  <w:r>
                    <w:rPr>
                      <w:rFonts w:hint="eastAsia"/>
                      <w:b w:val="0"/>
                      <w:bCs w:val="0"/>
                      <w:sz w:val="21"/>
                      <w:szCs w:val="21"/>
                      <w:vertAlign w:val="superscript"/>
                    </w:rPr>
                    <w:t>3</w:t>
                  </w:r>
                  <w:r>
                    <w:rPr>
                      <w:rFonts w:hint="eastAsia"/>
                      <w:b w:val="0"/>
                      <w:bCs w:val="0"/>
                      <w:sz w:val="21"/>
                      <w:szCs w:val="21"/>
                    </w:rPr>
                    <w:t>/a</w:t>
                  </w:r>
                </w:p>
              </w:tc>
              <w:tc>
                <w:tcPr>
                  <w:tcW w:w="1896"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8.74t/a</w:t>
                  </w:r>
                </w:p>
              </w:tc>
              <w:tc>
                <w:tcPr>
                  <w:tcW w:w="1747"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35.55t/a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5"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环境管理要求</w:t>
                  </w:r>
                </w:p>
              </w:tc>
              <w:tc>
                <w:tcPr>
                  <w:tcW w:w="2575"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处置率100%，并建立台账</w:t>
                  </w:r>
                </w:p>
              </w:tc>
              <w:tc>
                <w:tcPr>
                  <w:tcW w:w="1896"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处置率100%</w:t>
                  </w:r>
                </w:p>
              </w:tc>
              <w:tc>
                <w:tcPr>
                  <w:tcW w:w="1747" w:type="dxa"/>
                  <w:vAlign w:val="center"/>
                </w:tcPr>
                <w:p>
                  <w:pPr>
                    <w:pStyle w:val="33"/>
                    <w:spacing w:before="0" w:after="0" w:line="0" w:lineRule="atLeast"/>
                    <w:ind w:firstLine="0" w:firstLineChars="0"/>
                    <w:jc w:val="center"/>
                    <w:rPr>
                      <w:b w:val="0"/>
                      <w:bCs w:val="0"/>
                      <w:sz w:val="21"/>
                      <w:szCs w:val="21"/>
                    </w:rPr>
                  </w:pPr>
                  <w:r>
                    <w:rPr>
                      <w:rFonts w:hint="eastAsia"/>
                      <w:b w:val="0"/>
                      <w:bCs w:val="0"/>
                      <w:sz w:val="21"/>
                      <w:szCs w:val="21"/>
                    </w:rPr>
                    <w:t>处置率100%</w:t>
                  </w:r>
                </w:p>
              </w:tc>
            </w:tr>
          </w:tbl>
          <w:p>
            <w:pPr>
              <w:pStyle w:val="33"/>
              <w:ind w:firstLine="482"/>
            </w:pPr>
            <w:r>
              <w:t>5</w:t>
            </w:r>
            <w:r>
              <w:rPr>
                <w:rFonts w:hint="eastAsia"/>
              </w:rPr>
              <w:t>、地下水、土壤</w:t>
            </w:r>
          </w:p>
          <w:p>
            <w:pPr>
              <w:widowControl/>
              <w:ind w:firstLine="482"/>
              <w:jc w:val="left"/>
            </w:pPr>
            <w:r>
              <w:rPr>
                <w:rFonts w:eastAsia="宋体" w:cs="Times New Roman"/>
                <w:b/>
                <w:kern w:val="0"/>
                <w:szCs w:val="24"/>
                <w:lang w:bidi="ar"/>
              </w:rPr>
              <w:t xml:space="preserve">5.1 </w:t>
            </w:r>
            <w:r>
              <w:rPr>
                <w:rFonts w:hint="eastAsia" w:ascii="宋体" w:hAnsi="宋体" w:eastAsia="宋体" w:cs="宋体"/>
                <w:b/>
                <w:kern w:val="0"/>
                <w:szCs w:val="24"/>
                <w:lang w:bidi="ar"/>
              </w:rPr>
              <w:t xml:space="preserve">地下水、土壤影响分析 </w:t>
            </w:r>
          </w:p>
          <w:p>
            <w:pPr>
              <w:widowControl/>
              <w:ind w:firstLine="480"/>
              <w:jc w:val="left"/>
            </w:pPr>
            <w:r>
              <w:rPr>
                <w:rFonts w:hint="eastAsia" w:ascii="宋体" w:hAnsi="宋体" w:eastAsia="宋体" w:cs="宋体"/>
                <w:kern w:val="0"/>
                <w:szCs w:val="24"/>
                <w:lang w:bidi="ar"/>
              </w:rPr>
              <w:t xml:space="preserve">根据项目原辅材料及工艺，本项目地下水及土壤污染源主要为：污水处理站在事故情况下泄漏的废水可能对地下水水质及土壤环境造成污染。 </w:t>
            </w:r>
          </w:p>
          <w:p>
            <w:pPr>
              <w:widowControl/>
              <w:ind w:firstLine="482"/>
              <w:jc w:val="left"/>
            </w:pPr>
            <w:r>
              <w:rPr>
                <w:rFonts w:eastAsia="宋体" w:cs="Times New Roman"/>
                <w:b/>
                <w:kern w:val="0"/>
                <w:szCs w:val="24"/>
                <w:lang w:bidi="ar"/>
              </w:rPr>
              <w:t xml:space="preserve">5.2 </w:t>
            </w:r>
            <w:r>
              <w:rPr>
                <w:rFonts w:hint="eastAsia" w:ascii="宋体" w:hAnsi="宋体" w:eastAsia="宋体" w:cs="宋体"/>
                <w:b/>
                <w:kern w:val="0"/>
                <w:szCs w:val="24"/>
                <w:lang w:bidi="ar"/>
              </w:rPr>
              <w:t xml:space="preserve">保护措施及跟踪监测计划 </w:t>
            </w:r>
          </w:p>
          <w:p>
            <w:pPr>
              <w:widowControl/>
              <w:ind w:firstLine="482"/>
              <w:jc w:val="left"/>
            </w:pPr>
            <w:r>
              <w:rPr>
                <w:rFonts w:hint="eastAsia" w:ascii="宋体" w:hAnsi="宋体" w:eastAsia="宋体" w:cs="宋体"/>
                <w:b/>
                <w:kern w:val="0"/>
                <w:szCs w:val="24"/>
                <w:lang w:bidi="ar"/>
              </w:rPr>
              <w:t>（</w:t>
            </w:r>
            <w:r>
              <w:rPr>
                <w:rFonts w:eastAsia="宋体" w:cs="Times New Roman"/>
                <w:b/>
                <w:kern w:val="0"/>
                <w:szCs w:val="24"/>
                <w:lang w:bidi="ar"/>
              </w:rPr>
              <w:t>1</w:t>
            </w:r>
            <w:r>
              <w:rPr>
                <w:rFonts w:hint="eastAsia" w:ascii="宋体" w:hAnsi="宋体" w:eastAsia="宋体" w:cs="宋体"/>
                <w:b/>
                <w:kern w:val="0"/>
                <w:szCs w:val="24"/>
                <w:lang w:bidi="ar"/>
              </w:rPr>
              <w:t xml:space="preserve">）分区防渗措施 </w:t>
            </w:r>
          </w:p>
          <w:p>
            <w:pPr>
              <w:widowControl/>
              <w:ind w:firstLine="480"/>
              <w:jc w:val="left"/>
            </w:pPr>
            <w:r>
              <w:rPr>
                <w:rFonts w:hint="eastAsia" w:ascii="宋体" w:hAnsi="宋体" w:eastAsia="宋体" w:cs="宋体"/>
                <w:kern w:val="0"/>
                <w:szCs w:val="24"/>
                <w:lang w:bidi="ar"/>
              </w:rPr>
              <w:t>污染防治措施坚持</w:t>
            </w:r>
            <w:r>
              <w:rPr>
                <w:rFonts w:eastAsia="宋体" w:cs="Times New Roman"/>
                <w:kern w:val="0"/>
                <w:szCs w:val="24"/>
                <w:lang w:bidi="ar"/>
              </w:rPr>
              <w:t>“</w:t>
            </w:r>
            <w:r>
              <w:rPr>
                <w:rFonts w:hint="eastAsia" w:ascii="宋体" w:hAnsi="宋体" w:eastAsia="宋体" w:cs="宋体"/>
                <w:kern w:val="0"/>
                <w:szCs w:val="24"/>
                <w:lang w:bidi="ar"/>
              </w:rPr>
              <w:t>源头控制、末端防治、污染监控、应急响应相结合</w:t>
            </w:r>
            <w:r>
              <w:rPr>
                <w:rFonts w:eastAsia="宋体" w:cs="Times New Roman"/>
                <w:kern w:val="0"/>
                <w:szCs w:val="24"/>
                <w:lang w:bidi="ar"/>
              </w:rPr>
              <w:t>”</w:t>
            </w:r>
            <w:r>
              <w:rPr>
                <w:rFonts w:hint="eastAsia" w:ascii="宋体" w:hAnsi="宋体" w:eastAsia="宋体" w:cs="宋体"/>
                <w:kern w:val="0"/>
                <w:szCs w:val="24"/>
                <w:lang w:bidi="ar"/>
              </w:rPr>
              <w:t xml:space="preserve">的原则，即采取主动控制和被动控制相结合的措施。 </w:t>
            </w:r>
          </w:p>
          <w:p>
            <w:pPr>
              <w:widowControl/>
              <w:ind w:firstLine="480"/>
              <w:jc w:val="left"/>
            </w:pPr>
            <w:r>
              <w:rPr>
                <w:rFonts w:hint="eastAsia" w:ascii="宋体" w:hAnsi="宋体" w:eastAsia="宋体" w:cs="宋体"/>
                <w:kern w:val="0"/>
                <w:szCs w:val="24"/>
                <w:lang w:bidi="ar"/>
              </w:rPr>
              <w:t xml:space="preserve">①主动控制：从源头控制措施，主要包括在工艺、设备、污水储存及处理构筑物采取相应措施，防止和降低污染物跑、冒、滴、漏，将污染物泄漏的环境风险事故降到最低程度； </w:t>
            </w:r>
          </w:p>
          <w:p>
            <w:pPr>
              <w:widowControl/>
              <w:ind w:firstLine="480"/>
              <w:jc w:val="left"/>
            </w:pPr>
            <w:r>
              <w:rPr>
                <w:rFonts w:hint="eastAsia" w:ascii="宋体" w:hAnsi="宋体" w:eastAsia="宋体" w:cs="宋体"/>
                <w:kern w:val="0"/>
                <w:szCs w:val="24"/>
                <w:lang w:bidi="ar"/>
              </w:rPr>
              <w:t xml:space="preserve">②被动控制：末端控制措施，主要包括项目内污染区地面的防渗措施和泄漏、渗漏污染物收集措施，即在污染区地面进行防渗处理，防止洒落地面的污染物渗入地下及土壤，并把滞留在地面的污染物收集起来，集中送至污水处理厂。 </w:t>
            </w:r>
          </w:p>
          <w:p>
            <w:pPr>
              <w:widowControl/>
              <w:ind w:firstLine="480"/>
              <w:jc w:val="left"/>
            </w:pPr>
            <w:r>
              <w:rPr>
                <w:rFonts w:hint="eastAsia" w:ascii="宋体" w:hAnsi="宋体" w:eastAsia="宋体" w:cs="宋体"/>
                <w:kern w:val="0"/>
                <w:szCs w:val="24"/>
                <w:lang w:bidi="ar"/>
              </w:rPr>
              <w:t xml:space="preserve">③实施覆盖项目区的地下水、土壤污染监控系统，包括建立完善的监测制度、配备先进的检测仪器和设备，科学、合理设置地下水污染监控井，及时发现污染、及时控制。 </w:t>
            </w:r>
          </w:p>
          <w:p>
            <w:pPr>
              <w:widowControl/>
              <w:ind w:firstLine="480"/>
              <w:jc w:val="left"/>
              <w:rPr>
                <w:rFonts w:ascii="宋体" w:hAnsi="宋体" w:eastAsia="宋体" w:cs="宋体"/>
                <w:kern w:val="0"/>
                <w:szCs w:val="24"/>
                <w:lang w:bidi="ar"/>
              </w:rPr>
            </w:pPr>
            <w:r>
              <w:rPr>
                <w:rFonts w:hint="eastAsia" w:ascii="宋体" w:hAnsi="宋体" w:eastAsia="宋体" w:cs="宋体"/>
                <w:kern w:val="0"/>
                <w:szCs w:val="24"/>
                <w:lang w:bidi="ar"/>
              </w:rPr>
              <w:t>④应急响应措施，包括一旦发现地下水、土壤污染事故，立即启动应急预案、采取应急措施控制地下水污染，并使污染得到治理。</w:t>
            </w:r>
          </w:p>
          <w:p>
            <w:pPr>
              <w:widowControl/>
              <w:ind w:firstLine="480"/>
              <w:jc w:val="left"/>
            </w:pPr>
            <w:r>
              <w:rPr>
                <w:rFonts w:hint="eastAsia" w:ascii="宋体" w:hAnsi="宋体" w:eastAsia="宋体" w:cs="宋体"/>
                <w:kern w:val="0"/>
                <w:szCs w:val="24"/>
                <w:lang w:bidi="ar"/>
              </w:rPr>
              <w:t>地下水分区防渗参照表见下表：</w:t>
            </w:r>
          </w:p>
          <w:p>
            <w:pPr>
              <w:pStyle w:val="57"/>
              <w:ind w:firstLine="482"/>
              <w:jc w:val="center"/>
              <w:rPr>
                <w:b/>
                <w:bCs/>
              </w:rPr>
            </w:pPr>
            <w:r>
              <w:rPr>
                <w:rFonts w:hint="eastAsia"/>
                <w:b/>
                <w:bCs/>
              </w:rPr>
              <w:t>表4-14</w:t>
            </w:r>
            <w:r>
              <w:rPr>
                <w:b/>
                <w:bCs/>
              </w:rPr>
              <w:t xml:space="preserve">  </w:t>
            </w:r>
            <w:r>
              <w:rPr>
                <w:rFonts w:hint="eastAsia"/>
                <w:b/>
                <w:bCs/>
              </w:rPr>
              <w:t>地下水污染防渗分区参照表</w:t>
            </w:r>
          </w:p>
          <w:tbl>
            <w:tblPr>
              <w:tblStyle w:val="36"/>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212"/>
              <w:gridCol w:w="898"/>
              <w:gridCol w:w="2233"/>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spacing w:line="0" w:lineRule="atLeast"/>
                    <w:ind w:firstLine="0" w:firstLineChars="0"/>
                    <w:jc w:val="center"/>
                    <w:rPr>
                      <w:sz w:val="21"/>
                      <w:szCs w:val="21"/>
                    </w:rPr>
                  </w:pPr>
                  <w:r>
                    <w:rPr>
                      <w:rFonts w:hint="eastAsia"/>
                      <w:sz w:val="21"/>
                      <w:szCs w:val="21"/>
                    </w:rPr>
                    <w:t>防渗分区</w:t>
                  </w:r>
                </w:p>
              </w:tc>
              <w:tc>
                <w:tcPr>
                  <w:tcW w:w="1212" w:type="dxa"/>
                  <w:vAlign w:val="center"/>
                </w:tcPr>
                <w:p>
                  <w:pPr>
                    <w:spacing w:line="0" w:lineRule="atLeast"/>
                    <w:ind w:firstLine="0" w:firstLineChars="0"/>
                    <w:jc w:val="center"/>
                    <w:rPr>
                      <w:sz w:val="21"/>
                      <w:szCs w:val="21"/>
                    </w:rPr>
                  </w:pPr>
                  <w:r>
                    <w:rPr>
                      <w:rFonts w:hint="eastAsia"/>
                      <w:sz w:val="21"/>
                      <w:szCs w:val="21"/>
                    </w:rPr>
                    <w:t>天然包气带防污性能</w:t>
                  </w:r>
                </w:p>
              </w:tc>
              <w:tc>
                <w:tcPr>
                  <w:tcW w:w="898" w:type="dxa"/>
                  <w:vAlign w:val="center"/>
                </w:tcPr>
                <w:p>
                  <w:pPr>
                    <w:spacing w:line="0" w:lineRule="atLeast"/>
                    <w:ind w:firstLine="0" w:firstLineChars="0"/>
                    <w:jc w:val="center"/>
                    <w:rPr>
                      <w:sz w:val="21"/>
                      <w:szCs w:val="21"/>
                    </w:rPr>
                  </w:pPr>
                  <w:r>
                    <w:rPr>
                      <w:rFonts w:hint="eastAsia"/>
                      <w:sz w:val="21"/>
                      <w:szCs w:val="21"/>
                    </w:rPr>
                    <w:t>污染控制难易程度</w:t>
                  </w:r>
                </w:p>
              </w:tc>
              <w:tc>
                <w:tcPr>
                  <w:tcW w:w="2233" w:type="dxa"/>
                  <w:vAlign w:val="center"/>
                </w:tcPr>
                <w:p>
                  <w:pPr>
                    <w:spacing w:line="0" w:lineRule="atLeast"/>
                    <w:ind w:firstLine="0" w:firstLineChars="0"/>
                    <w:jc w:val="center"/>
                    <w:rPr>
                      <w:sz w:val="21"/>
                      <w:szCs w:val="21"/>
                    </w:rPr>
                  </w:pPr>
                  <w:r>
                    <w:rPr>
                      <w:rFonts w:hint="eastAsia"/>
                      <w:sz w:val="21"/>
                      <w:szCs w:val="21"/>
                    </w:rPr>
                    <w:t>污染物类型</w:t>
                  </w:r>
                </w:p>
              </w:tc>
              <w:tc>
                <w:tcPr>
                  <w:tcW w:w="2440" w:type="dxa"/>
                  <w:vAlign w:val="center"/>
                </w:tcPr>
                <w:p>
                  <w:pPr>
                    <w:spacing w:line="0" w:lineRule="atLeast"/>
                    <w:ind w:firstLine="0" w:firstLineChars="0"/>
                    <w:jc w:val="center"/>
                    <w:rPr>
                      <w:sz w:val="21"/>
                      <w:szCs w:val="21"/>
                    </w:rPr>
                  </w:pPr>
                  <w:r>
                    <w:rPr>
                      <w:rFonts w:hint="eastAsia"/>
                      <w:sz w:val="21"/>
                      <w:szCs w:val="21"/>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Merge w:val="restart"/>
                  <w:vAlign w:val="center"/>
                </w:tcPr>
                <w:p>
                  <w:pPr>
                    <w:spacing w:line="0" w:lineRule="atLeast"/>
                    <w:ind w:firstLine="0" w:firstLineChars="0"/>
                    <w:jc w:val="center"/>
                    <w:rPr>
                      <w:sz w:val="21"/>
                      <w:szCs w:val="21"/>
                    </w:rPr>
                  </w:pPr>
                  <w:r>
                    <w:rPr>
                      <w:rFonts w:hint="eastAsia"/>
                      <w:sz w:val="21"/>
                      <w:szCs w:val="21"/>
                    </w:rPr>
                    <w:t>重点防渗区</w:t>
                  </w:r>
                </w:p>
              </w:tc>
              <w:tc>
                <w:tcPr>
                  <w:tcW w:w="1212" w:type="dxa"/>
                  <w:vAlign w:val="center"/>
                </w:tcPr>
                <w:p>
                  <w:pPr>
                    <w:spacing w:line="0" w:lineRule="atLeast"/>
                    <w:ind w:firstLine="0" w:firstLineChars="0"/>
                    <w:jc w:val="center"/>
                    <w:rPr>
                      <w:sz w:val="21"/>
                      <w:szCs w:val="21"/>
                    </w:rPr>
                  </w:pPr>
                  <w:r>
                    <w:rPr>
                      <w:rFonts w:hint="eastAsia"/>
                      <w:sz w:val="21"/>
                      <w:szCs w:val="21"/>
                    </w:rPr>
                    <w:t>弱</w:t>
                  </w:r>
                </w:p>
              </w:tc>
              <w:tc>
                <w:tcPr>
                  <w:tcW w:w="898" w:type="dxa"/>
                  <w:vAlign w:val="center"/>
                </w:tcPr>
                <w:p>
                  <w:pPr>
                    <w:spacing w:line="0" w:lineRule="atLeast"/>
                    <w:ind w:firstLine="0" w:firstLineChars="0"/>
                    <w:jc w:val="center"/>
                    <w:rPr>
                      <w:sz w:val="21"/>
                      <w:szCs w:val="21"/>
                    </w:rPr>
                  </w:pPr>
                  <w:r>
                    <w:rPr>
                      <w:rFonts w:hint="eastAsia"/>
                      <w:sz w:val="21"/>
                      <w:szCs w:val="21"/>
                    </w:rPr>
                    <w:t>难</w:t>
                  </w:r>
                </w:p>
              </w:tc>
              <w:tc>
                <w:tcPr>
                  <w:tcW w:w="2233" w:type="dxa"/>
                  <w:vMerge w:val="restart"/>
                  <w:vAlign w:val="center"/>
                </w:tcPr>
                <w:p>
                  <w:pPr>
                    <w:spacing w:line="0" w:lineRule="atLeast"/>
                    <w:ind w:firstLine="0" w:firstLineChars="0"/>
                    <w:jc w:val="center"/>
                    <w:rPr>
                      <w:sz w:val="21"/>
                      <w:szCs w:val="21"/>
                    </w:rPr>
                  </w:pPr>
                  <w:r>
                    <w:rPr>
                      <w:rFonts w:hint="eastAsia"/>
                      <w:sz w:val="21"/>
                      <w:szCs w:val="21"/>
                    </w:rPr>
                    <w:t>重金属、持久性有机污染物</w:t>
                  </w:r>
                </w:p>
              </w:tc>
              <w:tc>
                <w:tcPr>
                  <w:tcW w:w="2440" w:type="dxa"/>
                  <w:vMerge w:val="restart"/>
                  <w:vAlign w:val="center"/>
                </w:tcPr>
                <w:p>
                  <w:pPr>
                    <w:spacing w:line="0" w:lineRule="atLeast"/>
                    <w:ind w:firstLine="0" w:firstLineChars="0"/>
                    <w:jc w:val="center"/>
                    <w:rPr>
                      <w:sz w:val="21"/>
                      <w:szCs w:val="21"/>
                    </w:rPr>
                  </w:pPr>
                  <w:r>
                    <w:rPr>
                      <w:rFonts w:hint="eastAsia"/>
                      <w:sz w:val="21"/>
                      <w:szCs w:val="21"/>
                    </w:rPr>
                    <w:t>等效黏土防渗层Mb≥6.0m，K≤1×10</w:t>
                  </w:r>
                  <w:r>
                    <w:rPr>
                      <w:sz w:val="21"/>
                      <w:szCs w:val="21"/>
                      <w:vertAlign w:val="superscript"/>
                    </w:rPr>
                    <w:t>-</w:t>
                  </w:r>
                  <w:r>
                    <w:rPr>
                      <w:rFonts w:hint="eastAsia"/>
                      <w:sz w:val="21"/>
                      <w:szCs w:val="21"/>
                      <w:vertAlign w:val="superscript"/>
                    </w:rPr>
                    <w:t>10</w:t>
                  </w:r>
                  <w:r>
                    <w:rPr>
                      <w:rFonts w:hint="eastAsia"/>
                      <w:sz w:val="21"/>
                      <w:szCs w:val="21"/>
                    </w:rPr>
                    <w:t>cm/s；或参照GB18598执行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Merge w:val="continue"/>
                  <w:vAlign w:val="center"/>
                </w:tcPr>
                <w:p>
                  <w:pPr>
                    <w:spacing w:line="0" w:lineRule="atLeast"/>
                    <w:ind w:firstLine="0" w:firstLineChars="0"/>
                    <w:jc w:val="center"/>
                    <w:rPr>
                      <w:sz w:val="21"/>
                      <w:szCs w:val="21"/>
                    </w:rPr>
                  </w:pPr>
                </w:p>
              </w:tc>
              <w:tc>
                <w:tcPr>
                  <w:tcW w:w="1212" w:type="dxa"/>
                  <w:vAlign w:val="center"/>
                </w:tcPr>
                <w:p>
                  <w:pPr>
                    <w:spacing w:line="0" w:lineRule="atLeast"/>
                    <w:ind w:firstLine="0" w:firstLineChars="0"/>
                    <w:jc w:val="center"/>
                    <w:rPr>
                      <w:sz w:val="21"/>
                      <w:szCs w:val="21"/>
                    </w:rPr>
                  </w:pPr>
                  <w:r>
                    <w:rPr>
                      <w:rFonts w:hint="eastAsia"/>
                      <w:sz w:val="21"/>
                      <w:szCs w:val="21"/>
                    </w:rPr>
                    <w:t>中-强</w:t>
                  </w:r>
                </w:p>
              </w:tc>
              <w:tc>
                <w:tcPr>
                  <w:tcW w:w="898" w:type="dxa"/>
                  <w:vAlign w:val="center"/>
                </w:tcPr>
                <w:p>
                  <w:pPr>
                    <w:spacing w:line="0" w:lineRule="atLeast"/>
                    <w:ind w:firstLine="0" w:firstLineChars="0"/>
                    <w:jc w:val="center"/>
                    <w:rPr>
                      <w:sz w:val="21"/>
                      <w:szCs w:val="21"/>
                    </w:rPr>
                  </w:pPr>
                  <w:r>
                    <w:rPr>
                      <w:rFonts w:hint="eastAsia"/>
                      <w:sz w:val="21"/>
                      <w:szCs w:val="21"/>
                    </w:rPr>
                    <w:t>难</w:t>
                  </w:r>
                </w:p>
              </w:tc>
              <w:tc>
                <w:tcPr>
                  <w:tcW w:w="2233" w:type="dxa"/>
                  <w:vMerge w:val="continue"/>
                  <w:vAlign w:val="center"/>
                </w:tcPr>
                <w:p>
                  <w:pPr>
                    <w:spacing w:line="0" w:lineRule="atLeast"/>
                    <w:ind w:firstLine="0" w:firstLineChars="0"/>
                    <w:jc w:val="center"/>
                    <w:rPr>
                      <w:sz w:val="21"/>
                      <w:szCs w:val="21"/>
                    </w:rPr>
                  </w:pPr>
                </w:p>
              </w:tc>
              <w:tc>
                <w:tcPr>
                  <w:tcW w:w="2440" w:type="dxa"/>
                  <w:vMerge w:val="continue"/>
                  <w:vAlign w:val="center"/>
                </w:tcPr>
                <w:p>
                  <w:pPr>
                    <w:spacing w:line="0" w:lineRule="atLeast"/>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Merge w:val="continue"/>
                  <w:vAlign w:val="center"/>
                </w:tcPr>
                <w:p>
                  <w:pPr>
                    <w:spacing w:line="0" w:lineRule="atLeast"/>
                    <w:ind w:firstLine="0" w:firstLineChars="0"/>
                    <w:jc w:val="center"/>
                    <w:rPr>
                      <w:sz w:val="21"/>
                      <w:szCs w:val="21"/>
                    </w:rPr>
                  </w:pPr>
                </w:p>
              </w:tc>
              <w:tc>
                <w:tcPr>
                  <w:tcW w:w="1212" w:type="dxa"/>
                  <w:vAlign w:val="center"/>
                </w:tcPr>
                <w:p>
                  <w:pPr>
                    <w:spacing w:line="0" w:lineRule="atLeast"/>
                    <w:ind w:firstLine="0" w:firstLineChars="0"/>
                    <w:jc w:val="center"/>
                    <w:rPr>
                      <w:sz w:val="21"/>
                      <w:szCs w:val="21"/>
                    </w:rPr>
                  </w:pPr>
                  <w:r>
                    <w:rPr>
                      <w:rFonts w:hint="eastAsia"/>
                      <w:sz w:val="21"/>
                      <w:szCs w:val="21"/>
                    </w:rPr>
                    <w:t>弱</w:t>
                  </w:r>
                </w:p>
              </w:tc>
              <w:tc>
                <w:tcPr>
                  <w:tcW w:w="898" w:type="dxa"/>
                  <w:vAlign w:val="center"/>
                </w:tcPr>
                <w:p>
                  <w:pPr>
                    <w:spacing w:line="0" w:lineRule="atLeast"/>
                    <w:ind w:firstLine="0" w:firstLineChars="0"/>
                    <w:jc w:val="center"/>
                    <w:rPr>
                      <w:sz w:val="21"/>
                      <w:szCs w:val="21"/>
                    </w:rPr>
                  </w:pPr>
                  <w:r>
                    <w:rPr>
                      <w:rFonts w:hint="eastAsia"/>
                      <w:sz w:val="21"/>
                      <w:szCs w:val="21"/>
                    </w:rPr>
                    <w:t>易</w:t>
                  </w:r>
                </w:p>
              </w:tc>
              <w:tc>
                <w:tcPr>
                  <w:tcW w:w="2233" w:type="dxa"/>
                  <w:vMerge w:val="continue"/>
                  <w:vAlign w:val="center"/>
                </w:tcPr>
                <w:p>
                  <w:pPr>
                    <w:spacing w:line="0" w:lineRule="atLeast"/>
                    <w:ind w:firstLine="0" w:firstLineChars="0"/>
                    <w:jc w:val="center"/>
                    <w:rPr>
                      <w:sz w:val="21"/>
                      <w:szCs w:val="21"/>
                    </w:rPr>
                  </w:pPr>
                </w:p>
              </w:tc>
              <w:tc>
                <w:tcPr>
                  <w:tcW w:w="2440" w:type="dxa"/>
                  <w:vMerge w:val="continue"/>
                  <w:vAlign w:val="center"/>
                </w:tcPr>
                <w:p>
                  <w:pPr>
                    <w:spacing w:line="0" w:lineRule="atLeast"/>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Merge w:val="restart"/>
                  <w:vAlign w:val="center"/>
                </w:tcPr>
                <w:p>
                  <w:pPr>
                    <w:spacing w:line="0" w:lineRule="atLeast"/>
                    <w:ind w:firstLine="0" w:firstLineChars="0"/>
                    <w:jc w:val="center"/>
                    <w:rPr>
                      <w:sz w:val="21"/>
                      <w:szCs w:val="21"/>
                    </w:rPr>
                  </w:pPr>
                  <w:r>
                    <w:rPr>
                      <w:rFonts w:hint="eastAsia"/>
                      <w:sz w:val="21"/>
                      <w:szCs w:val="21"/>
                    </w:rPr>
                    <w:t>一般防渗区</w:t>
                  </w:r>
                </w:p>
              </w:tc>
              <w:tc>
                <w:tcPr>
                  <w:tcW w:w="1212" w:type="dxa"/>
                  <w:vAlign w:val="center"/>
                </w:tcPr>
                <w:p>
                  <w:pPr>
                    <w:spacing w:line="0" w:lineRule="atLeast"/>
                    <w:ind w:firstLine="0" w:firstLineChars="0"/>
                    <w:jc w:val="center"/>
                    <w:rPr>
                      <w:sz w:val="21"/>
                      <w:szCs w:val="21"/>
                    </w:rPr>
                  </w:pPr>
                  <w:r>
                    <w:rPr>
                      <w:rFonts w:hint="eastAsia"/>
                      <w:sz w:val="21"/>
                      <w:szCs w:val="21"/>
                    </w:rPr>
                    <w:t>弱</w:t>
                  </w:r>
                </w:p>
              </w:tc>
              <w:tc>
                <w:tcPr>
                  <w:tcW w:w="898" w:type="dxa"/>
                  <w:vAlign w:val="center"/>
                </w:tcPr>
                <w:p>
                  <w:pPr>
                    <w:spacing w:line="0" w:lineRule="atLeast"/>
                    <w:ind w:firstLine="0" w:firstLineChars="0"/>
                    <w:jc w:val="center"/>
                    <w:rPr>
                      <w:sz w:val="21"/>
                      <w:szCs w:val="21"/>
                    </w:rPr>
                  </w:pPr>
                  <w:r>
                    <w:rPr>
                      <w:rFonts w:hint="eastAsia"/>
                      <w:sz w:val="21"/>
                      <w:szCs w:val="21"/>
                    </w:rPr>
                    <w:t>易-难</w:t>
                  </w:r>
                </w:p>
              </w:tc>
              <w:tc>
                <w:tcPr>
                  <w:tcW w:w="2233" w:type="dxa"/>
                  <w:vMerge w:val="restart"/>
                  <w:vAlign w:val="center"/>
                </w:tcPr>
                <w:p>
                  <w:pPr>
                    <w:spacing w:line="0" w:lineRule="atLeast"/>
                    <w:ind w:firstLine="0" w:firstLineChars="0"/>
                    <w:jc w:val="center"/>
                    <w:rPr>
                      <w:sz w:val="21"/>
                      <w:szCs w:val="21"/>
                    </w:rPr>
                  </w:pPr>
                  <w:r>
                    <w:rPr>
                      <w:rFonts w:hint="eastAsia"/>
                      <w:sz w:val="21"/>
                      <w:szCs w:val="21"/>
                    </w:rPr>
                    <w:t>其他类型</w:t>
                  </w:r>
                </w:p>
              </w:tc>
              <w:tc>
                <w:tcPr>
                  <w:tcW w:w="2440" w:type="dxa"/>
                  <w:vMerge w:val="restart"/>
                  <w:vAlign w:val="center"/>
                </w:tcPr>
                <w:p>
                  <w:pPr>
                    <w:spacing w:line="0" w:lineRule="atLeast"/>
                    <w:ind w:firstLine="0" w:firstLineChars="0"/>
                    <w:jc w:val="center"/>
                    <w:rPr>
                      <w:sz w:val="21"/>
                      <w:szCs w:val="21"/>
                    </w:rPr>
                  </w:pPr>
                  <w:r>
                    <w:rPr>
                      <w:rFonts w:hint="eastAsia"/>
                      <w:sz w:val="21"/>
                      <w:szCs w:val="21"/>
                    </w:rPr>
                    <w:t>等效黏土防渗层Mb≥1.5m，K≤1×10</w:t>
                  </w:r>
                  <w:r>
                    <w:rPr>
                      <w:sz w:val="21"/>
                      <w:szCs w:val="21"/>
                      <w:vertAlign w:val="superscript"/>
                    </w:rPr>
                    <w:t>-7</w:t>
                  </w:r>
                  <w:r>
                    <w:rPr>
                      <w:rFonts w:hint="eastAsia"/>
                      <w:sz w:val="21"/>
                      <w:szCs w:val="21"/>
                    </w:rPr>
                    <w:t>cm/s；或参照GB16889执行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Merge w:val="continue"/>
                  <w:vAlign w:val="center"/>
                </w:tcPr>
                <w:p>
                  <w:pPr>
                    <w:spacing w:line="0" w:lineRule="atLeast"/>
                    <w:ind w:firstLine="0" w:firstLineChars="0"/>
                    <w:jc w:val="center"/>
                    <w:rPr>
                      <w:sz w:val="21"/>
                      <w:szCs w:val="21"/>
                    </w:rPr>
                  </w:pPr>
                </w:p>
              </w:tc>
              <w:tc>
                <w:tcPr>
                  <w:tcW w:w="1212" w:type="dxa"/>
                  <w:vAlign w:val="center"/>
                </w:tcPr>
                <w:p>
                  <w:pPr>
                    <w:spacing w:line="0" w:lineRule="atLeast"/>
                    <w:ind w:firstLine="0" w:firstLineChars="0"/>
                    <w:jc w:val="center"/>
                    <w:rPr>
                      <w:sz w:val="21"/>
                      <w:szCs w:val="21"/>
                    </w:rPr>
                  </w:pPr>
                  <w:r>
                    <w:rPr>
                      <w:rFonts w:hint="eastAsia"/>
                      <w:sz w:val="21"/>
                      <w:szCs w:val="21"/>
                    </w:rPr>
                    <w:t>中-强</w:t>
                  </w:r>
                </w:p>
              </w:tc>
              <w:tc>
                <w:tcPr>
                  <w:tcW w:w="898" w:type="dxa"/>
                  <w:vAlign w:val="center"/>
                </w:tcPr>
                <w:p>
                  <w:pPr>
                    <w:spacing w:line="0" w:lineRule="atLeast"/>
                    <w:ind w:firstLine="0" w:firstLineChars="0"/>
                    <w:jc w:val="center"/>
                    <w:rPr>
                      <w:sz w:val="21"/>
                      <w:szCs w:val="21"/>
                    </w:rPr>
                  </w:pPr>
                  <w:r>
                    <w:rPr>
                      <w:rFonts w:hint="eastAsia"/>
                      <w:sz w:val="21"/>
                      <w:szCs w:val="21"/>
                    </w:rPr>
                    <w:t>难</w:t>
                  </w:r>
                </w:p>
              </w:tc>
              <w:tc>
                <w:tcPr>
                  <w:tcW w:w="2233" w:type="dxa"/>
                  <w:vMerge w:val="continue"/>
                  <w:vAlign w:val="center"/>
                </w:tcPr>
                <w:p>
                  <w:pPr>
                    <w:spacing w:line="0" w:lineRule="atLeast"/>
                    <w:ind w:firstLine="0" w:firstLineChars="0"/>
                    <w:jc w:val="center"/>
                    <w:rPr>
                      <w:sz w:val="21"/>
                      <w:szCs w:val="21"/>
                    </w:rPr>
                  </w:pPr>
                </w:p>
              </w:tc>
              <w:tc>
                <w:tcPr>
                  <w:tcW w:w="2440" w:type="dxa"/>
                  <w:vMerge w:val="continue"/>
                  <w:vAlign w:val="center"/>
                </w:tcPr>
                <w:p>
                  <w:pPr>
                    <w:spacing w:line="0" w:lineRule="atLeast"/>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Merge w:val="continue"/>
                  <w:vAlign w:val="center"/>
                </w:tcPr>
                <w:p>
                  <w:pPr>
                    <w:spacing w:line="0" w:lineRule="atLeast"/>
                    <w:ind w:firstLine="0" w:firstLineChars="0"/>
                    <w:jc w:val="center"/>
                    <w:rPr>
                      <w:sz w:val="21"/>
                      <w:szCs w:val="21"/>
                    </w:rPr>
                  </w:pPr>
                </w:p>
              </w:tc>
              <w:tc>
                <w:tcPr>
                  <w:tcW w:w="1212" w:type="dxa"/>
                  <w:vAlign w:val="center"/>
                </w:tcPr>
                <w:p>
                  <w:pPr>
                    <w:spacing w:line="0" w:lineRule="atLeast"/>
                    <w:ind w:firstLine="0" w:firstLineChars="0"/>
                    <w:jc w:val="center"/>
                    <w:rPr>
                      <w:sz w:val="21"/>
                      <w:szCs w:val="21"/>
                    </w:rPr>
                  </w:pPr>
                  <w:r>
                    <w:rPr>
                      <w:rFonts w:hint="eastAsia"/>
                      <w:sz w:val="21"/>
                      <w:szCs w:val="21"/>
                    </w:rPr>
                    <w:t>中</w:t>
                  </w:r>
                </w:p>
              </w:tc>
              <w:tc>
                <w:tcPr>
                  <w:tcW w:w="898" w:type="dxa"/>
                  <w:vAlign w:val="center"/>
                </w:tcPr>
                <w:p>
                  <w:pPr>
                    <w:spacing w:line="0" w:lineRule="atLeast"/>
                    <w:ind w:firstLine="0" w:firstLineChars="0"/>
                    <w:jc w:val="center"/>
                    <w:rPr>
                      <w:sz w:val="21"/>
                      <w:szCs w:val="21"/>
                    </w:rPr>
                  </w:pPr>
                  <w:r>
                    <w:rPr>
                      <w:rFonts w:hint="eastAsia"/>
                      <w:sz w:val="21"/>
                      <w:szCs w:val="21"/>
                    </w:rPr>
                    <w:t>易</w:t>
                  </w:r>
                </w:p>
              </w:tc>
              <w:tc>
                <w:tcPr>
                  <w:tcW w:w="2233" w:type="dxa"/>
                  <w:vMerge w:val="restart"/>
                  <w:vAlign w:val="center"/>
                </w:tcPr>
                <w:p>
                  <w:pPr>
                    <w:spacing w:line="0" w:lineRule="atLeast"/>
                    <w:ind w:firstLine="0" w:firstLineChars="0"/>
                    <w:jc w:val="center"/>
                    <w:rPr>
                      <w:sz w:val="21"/>
                      <w:szCs w:val="21"/>
                    </w:rPr>
                  </w:pPr>
                  <w:r>
                    <w:rPr>
                      <w:rFonts w:hint="eastAsia"/>
                      <w:sz w:val="21"/>
                      <w:szCs w:val="21"/>
                    </w:rPr>
                    <w:t>重金属、持久性有机污染物</w:t>
                  </w:r>
                </w:p>
              </w:tc>
              <w:tc>
                <w:tcPr>
                  <w:tcW w:w="2440" w:type="dxa"/>
                  <w:vMerge w:val="continue"/>
                  <w:vAlign w:val="center"/>
                </w:tcPr>
                <w:p>
                  <w:pPr>
                    <w:spacing w:line="0" w:lineRule="atLeast"/>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Merge w:val="continue"/>
                  <w:vAlign w:val="center"/>
                </w:tcPr>
                <w:p>
                  <w:pPr>
                    <w:spacing w:line="0" w:lineRule="atLeast"/>
                    <w:ind w:firstLine="0" w:firstLineChars="0"/>
                    <w:jc w:val="center"/>
                    <w:rPr>
                      <w:sz w:val="21"/>
                      <w:szCs w:val="21"/>
                    </w:rPr>
                  </w:pPr>
                </w:p>
              </w:tc>
              <w:tc>
                <w:tcPr>
                  <w:tcW w:w="1212" w:type="dxa"/>
                  <w:vAlign w:val="center"/>
                </w:tcPr>
                <w:p>
                  <w:pPr>
                    <w:spacing w:line="0" w:lineRule="atLeast"/>
                    <w:ind w:firstLine="0" w:firstLineChars="0"/>
                    <w:jc w:val="center"/>
                    <w:rPr>
                      <w:sz w:val="21"/>
                      <w:szCs w:val="21"/>
                    </w:rPr>
                  </w:pPr>
                  <w:r>
                    <w:rPr>
                      <w:rFonts w:hint="eastAsia"/>
                      <w:sz w:val="21"/>
                      <w:szCs w:val="21"/>
                    </w:rPr>
                    <w:t>强</w:t>
                  </w:r>
                </w:p>
              </w:tc>
              <w:tc>
                <w:tcPr>
                  <w:tcW w:w="898" w:type="dxa"/>
                  <w:vAlign w:val="center"/>
                </w:tcPr>
                <w:p>
                  <w:pPr>
                    <w:spacing w:line="0" w:lineRule="atLeast"/>
                    <w:ind w:firstLine="0" w:firstLineChars="0"/>
                    <w:jc w:val="center"/>
                    <w:rPr>
                      <w:sz w:val="21"/>
                      <w:szCs w:val="21"/>
                    </w:rPr>
                  </w:pPr>
                  <w:r>
                    <w:rPr>
                      <w:rFonts w:hint="eastAsia"/>
                      <w:sz w:val="21"/>
                      <w:szCs w:val="21"/>
                    </w:rPr>
                    <w:t>易</w:t>
                  </w:r>
                </w:p>
              </w:tc>
              <w:tc>
                <w:tcPr>
                  <w:tcW w:w="2233" w:type="dxa"/>
                  <w:vMerge w:val="continue"/>
                  <w:vAlign w:val="center"/>
                </w:tcPr>
                <w:p>
                  <w:pPr>
                    <w:spacing w:line="0" w:lineRule="atLeast"/>
                    <w:ind w:firstLine="0" w:firstLineChars="0"/>
                    <w:jc w:val="center"/>
                    <w:rPr>
                      <w:sz w:val="21"/>
                      <w:szCs w:val="21"/>
                    </w:rPr>
                  </w:pPr>
                </w:p>
              </w:tc>
              <w:tc>
                <w:tcPr>
                  <w:tcW w:w="2440" w:type="dxa"/>
                  <w:vMerge w:val="continue"/>
                  <w:vAlign w:val="center"/>
                </w:tcPr>
                <w:p>
                  <w:pPr>
                    <w:spacing w:line="0" w:lineRule="atLeast"/>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pPr>
                    <w:spacing w:line="0" w:lineRule="atLeast"/>
                    <w:ind w:firstLine="0" w:firstLineChars="0"/>
                    <w:jc w:val="center"/>
                    <w:rPr>
                      <w:sz w:val="21"/>
                      <w:szCs w:val="21"/>
                    </w:rPr>
                  </w:pPr>
                  <w:r>
                    <w:rPr>
                      <w:rFonts w:hint="eastAsia"/>
                      <w:sz w:val="21"/>
                      <w:szCs w:val="21"/>
                    </w:rPr>
                    <w:t>简单防渗区</w:t>
                  </w:r>
                </w:p>
              </w:tc>
              <w:tc>
                <w:tcPr>
                  <w:tcW w:w="1212" w:type="dxa"/>
                  <w:vAlign w:val="center"/>
                </w:tcPr>
                <w:p>
                  <w:pPr>
                    <w:spacing w:line="0" w:lineRule="atLeast"/>
                    <w:ind w:firstLine="0" w:firstLineChars="0"/>
                    <w:jc w:val="center"/>
                    <w:rPr>
                      <w:sz w:val="21"/>
                      <w:szCs w:val="21"/>
                    </w:rPr>
                  </w:pPr>
                  <w:r>
                    <w:rPr>
                      <w:rFonts w:hint="eastAsia"/>
                      <w:sz w:val="21"/>
                      <w:szCs w:val="21"/>
                    </w:rPr>
                    <w:t>中-强</w:t>
                  </w:r>
                </w:p>
              </w:tc>
              <w:tc>
                <w:tcPr>
                  <w:tcW w:w="898" w:type="dxa"/>
                  <w:vAlign w:val="center"/>
                </w:tcPr>
                <w:p>
                  <w:pPr>
                    <w:spacing w:line="0" w:lineRule="atLeast"/>
                    <w:ind w:firstLine="0" w:firstLineChars="0"/>
                    <w:jc w:val="center"/>
                    <w:rPr>
                      <w:sz w:val="21"/>
                      <w:szCs w:val="21"/>
                    </w:rPr>
                  </w:pPr>
                  <w:r>
                    <w:rPr>
                      <w:rFonts w:hint="eastAsia"/>
                      <w:sz w:val="21"/>
                      <w:szCs w:val="21"/>
                    </w:rPr>
                    <w:t>易</w:t>
                  </w:r>
                </w:p>
              </w:tc>
              <w:tc>
                <w:tcPr>
                  <w:tcW w:w="2233" w:type="dxa"/>
                  <w:vAlign w:val="center"/>
                </w:tcPr>
                <w:p>
                  <w:pPr>
                    <w:spacing w:line="0" w:lineRule="atLeast"/>
                    <w:ind w:firstLine="0" w:firstLineChars="0"/>
                    <w:jc w:val="center"/>
                    <w:rPr>
                      <w:sz w:val="21"/>
                      <w:szCs w:val="21"/>
                    </w:rPr>
                  </w:pPr>
                  <w:r>
                    <w:rPr>
                      <w:rFonts w:hint="eastAsia"/>
                      <w:sz w:val="21"/>
                      <w:szCs w:val="21"/>
                    </w:rPr>
                    <w:t>其他类型</w:t>
                  </w:r>
                </w:p>
              </w:tc>
              <w:tc>
                <w:tcPr>
                  <w:tcW w:w="2440" w:type="dxa"/>
                  <w:vAlign w:val="center"/>
                </w:tcPr>
                <w:p>
                  <w:pPr>
                    <w:spacing w:line="0" w:lineRule="atLeast"/>
                    <w:ind w:firstLine="0" w:firstLineChars="0"/>
                    <w:jc w:val="center"/>
                    <w:rPr>
                      <w:sz w:val="21"/>
                      <w:szCs w:val="21"/>
                    </w:rPr>
                  </w:pPr>
                  <w:r>
                    <w:rPr>
                      <w:rFonts w:hint="eastAsia"/>
                      <w:sz w:val="21"/>
                      <w:szCs w:val="21"/>
                    </w:rPr>
                    <w:t>一般地面硬化</w:t>
                  </w:r>
                </w:p>
              </w:tc>
            </w:tr>
          </w:tbl>
          <w:p>
            <w:pPr>
              <w:widowControl/>
              <w:ind w:firstLine="480"/>
              <w:jc w:val="left"/>
            </w:pPr>
            <w:r>
              <w:rPr>
                <w:rFonts w:hint="eastAsia" w:ascii="宋体" w:hAnsi="宋体" w:eastAsia="宋体" w:cs="宋体"/>
                <w:kern w:val="0"/>
                <w:szCs w:val="24"/>
                <w:lang w:bidi="ar"/>
              </w:rPr>
              <w:t xml:space="preserve">依据表 </w:t>
            </w:r>
            <w:r>
              <w:rPr>
                <w:rFonts w:eastAsia="宋体" w:cs="Times New Roman"/>
                <w:kern w:val="0"/>
                <w:szCs w:val="24"/>
                <w:lang w:bidi="ar"/>
              </w:rPr>
              <w:t>4-1</w:t>
            </w:r>
            <w:r>
              <w:rPr>
                <w:rFonts w:hint="eastAsia" w:eastAsia="宋体" w:cs="Times New Roman"/>
                <w:kern w:val="0"/>
                <w:szCs w:val="24"/>
                <w:lang w:bidi="ar"/>
              </w:rPr>
              <w:t>4</w:t>
            </w:r>
            <w:r>
              <w:rPr>
                <w:rFonts w:hint="eastAsia" w:ascii="宋体" w:hAnsi="宋体" w:eastAsia="宋体" w:cs="宋体"/>
                <w:kern w:val="0"/>
                <w:szCs w:val="24"/>
                <w:lang w:bidi="ar"/>
              </w:rPr>
              <w:t xml:space="preserve">划分要求及本项目污染物产生、处理的过程环节，结合场区的总平面布置情况，将厂区分为重点防渗区、一般防渗区及简单防渗区，本项目防渗要求见表 </w:t>
            </w:r>
            <w:r>
              <w:rPr>
                <w:rFonts w:eastAsia="宋体" w:cs="Times New Roman"/>
                <w:kern w:val="0"/>
                <w:szCs w:val="24"/>
                <w:lang w:bidi="ar"/>
              </w:rPr>
              <w:t>4-1</w:t>
            </w:r>
            <w:r>
              <w:rPr>
                <w:rFonts w:hint="eastAsia" w:eastAsia="宋体" w:cs="Times New Roman"/>
                <w:kern w:val="0"/>
                <w:szCs w:val="24"/>
                <w:lang w:bidi="ar"/>
              </w:rPr>
              <w:t>5</w:t>
            </w:r>
            <w:r>
              <w:rPr>
                <w:rFonts w:hint="eastAsia" w:ascii="宋体" w:hAnsi="宋体" w:eastAsia="宋体" w:cs="宋体"/>
                <w:kern w:val="0"/>
                <w:szCs w:val="24"/>
                <w:lang w:bidi="ar"/>
              </w:rPr>
              <w:t>。</w:t>
            </w:r>
          </w:p>
          <w:p>
            <w:pPr>
              <w:widowControl/>
              <w:ind w:firstLine="0" w:firstLineChars="0"/>
              <w:jc w:val="center"/>
            </w:pPr>
            <w:r>
              <w:rPr>
                <w:rFonts w:hint="eastAsia" w:ascii="宋体" w:hAnsi="宋体" w:eastAsia="宋体" w:cs="宋体"/>
                <w:b/>
                <w:kern w:val="0"/>
                <w:szCs w:val="24"/>
                <w:lang w:bidi="ar"/>
              </w:rPr>
              <w:t>表</w:t>
            </w:r>
            <w:r>
              <w:rPr>
                <w:rFonts w:eastAsia="宋体" w:cs="Times New Roman"/>
                <w:b/>
                <w:kern w:val="0"/>
                <w:szCs w:val="24"/>
                <w:lang w:bidi="ar"/>
              </w:rPr>
              <w:t>4-1</w:t>
            </w:r>
            <w:r>
              <w:rPr>
                <w:rFonts w:hint="eastAsia" w:eastAsia="宋体" w:cs="Times New Roman"/>
                <w:b/>
                <w:kern w:val="0"/>
                <w:szCs w:val="24"/>
                <w:lang w:bidi="ar"/>
              </w:rPr>
              <w:t>5</w:t>
            </w:r>
            <w:r>
              <w:rPr>
                <w:rFonts w:eastAsia="宋体" w:cs="Times New Roman"/>
                <w:b/>
                <w:kern w:val="0"/>
                <w:szCs w:val="24"/>
                <w:lang w:bidi="ar"/>
              </w:rPr>
              <w:t xml:space="preserve"> </w:t>
            </w:r>
            <w:r>
              <w:rPr>
                <w:rFonts w:hint="eastAsia" w:eastAsia="宋体" w:cs="Times New Roman"/>
                <w:b/>
                <w:kern w:val="0"/>
                <w:szCs w:val="24"/>
                <w:lang w:bidi="ar"/>
              </w:rPr>
              <w:t xml:space="preserve">  </w:t>
            </w:r>
            <w:r>
              <w:rPr>
                <w:rFonts w:hint="eastAsia" w:ascii="宋体" w:hAnsi="宋体" w:eastAsia="宋体" w:cs="宋体"/>
                <w:b/>
                <w:kern w:val="0"/>
                <w:szCs w:val="24"/>
                <w:lang w:bidi="ar"/>
              </w:rPr>
              <w:t>项目防渗措施汇总表</w:t>
            </w:r>
          </w:p>
          <w:tbl>
            <w:tblPr>
              <w:tblStyle w:val="37"/>
              <w:tblW w:w="8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431"/>
              <w:gridCol w:w="3341"/>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9" w:type="dxa"/>
                  <w:gridSpan w:val="2"/>
                  <w:vAlign w:val="center"/>
                </w:tcPr>
                <w:p>
                  <w:pPr>
                    <w:spacing w:line="0" w:lineRule="atLeast"/>
                    <w:ind w:firstLine="0" w:firstLineChars="0"/>
                    <w:jc w:val="center"/>
                    <w:rPr>
                      <w:sz w:val="21"/>
                      <w:szCs w:val="21"/>
                    </w:rPr>
                  </w:pPr>
                  <w:r>
                    <w:rPr>
                      <w:rFonts w:hint="eastAsia"/>
                      <w:sz w:val="21"/>
                      <w:szCs w:val="21"/>
                    </w:rPr>
                    <w:t>防渗分区</w:t>
                  </w:r>
                </w:p>
              </w:tc>
              <w:tc>
                <w:tcPr>
                  <w:tcW w:w="3341" w:type="dxa"/>
                  <w:vAlign w:val="center"/>
                </w:tcPr>
                <w:p>
                  <w:pPr>
                    <w:spacing w:line="0" w:lineRule="atLeast"/>
                    <w:ind w:firstLine="0" w:firstLineChars="0"/>
                    <w:jc w:val="center"/>
                    <w:rPr>
                      <w:sz w:val="21"/>
                      <w:szCs w:val="21"/>
                    </w:rPr>
                  </w:pPr>
                  <w:r>
                    <w:rPr>
                      <w:rFonts w:hint="eastAsia"/>
                      <w:sz w:val="21"/>
                      <w:szCs w:val="21"/>
                    </w:rPr>
                    <w:t>防渗措施</w:t>
                  </w:r>
                </w:p>
              </w:tc>
              <w:tc>
                <w:tcPr>
                  <w:tcW w:w="2182" w:type="dxa"/>
                  <w:vAlign w:val="center"/>
                </w:tcPr>
                <w:p>
                  <w:pPr>
                    <w:spacing w:line="0" w:lineRule="atLeast"/>
                    <w:ind w:firstLine="0" w:firstLineChars="0"/>
                    <w:jc w:val="center"/>
                    <w:rPr>
                      <w:sz w:val="21"/>
                      <w:szCs w:val="21"/>
                    </w:rPr>
                  </w:pPr>
                  <w:r>
                    <w:rPr>
                      <w:rFonts w:hint="eastAsia"/>
                      <w:sz w:val="21"/>
                      <w:szCs w:val="21"/>
                    </w:rPr>
                    <w:t>防渗要求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Align w:val="center"/>
                </w:tcPr>
                <w:p>
                  <w:pPr>
                    <w:spacing w:line="0" w:lineRule="atLeast"/>
                    <w:ind w:firstLine="0" w:firstLineChars="0"/>
                    <w:jc w:val="center"/>
                    <w:rPr>
                      <w:sz w:val="21"/>
                      <w:szCs w:val="21"/>
                    </w:rPr>
                  </w:pPr>
                  <w:r>
                    <w:rPr>
                      <w:rFonts w:hint="eastAsia"/>
                      <w:sz w:val="21"/>
                      <w:szCs w:val="21"/>
                    </w:rPr>
                    <w:t>重点防渗区</w:t>
                  </w:r>
                </w:p>
              </w:tc>
              <w:tc>
                <w:tcPr>
                  <w:tcW w:w="1431" w:type="dxa"/>
                  <w:vAlign w:val="center"/>
                </w:tcPr>
                <w:p>
                  <w:pPr>
                    <w:spacing w:line="0" w:lineRule="atLeast"/>
                    <w:ind w:firstLine="0" w:firstLineChars="0"/>
                    <w:jc w:val="center"/>
                    <w:rPr>
                      <w:sz w:val="21"/>
                      <w:szCs w:val="21"/>
                    </w:rPr>
                  </w:pPr>
                  <w:r>
                    <w:rPr>
                      <w:rFonts w:hint="eastAsia"/>
                      <w:sz w:val="21"/>
                      <w:szCs w:val="21"/>
                    </w:rPr>
                    <w:t>医疗废物暂存间</w:t>
                  </w:r>
                </w:p>
              </w:tc>
              <w:tc>
                <w:tcPr>
                  <w:tcW w:w="3341" w:type="dxa"/>
                </w:tcPr>
                <w:p>
                  <w:pPr>
                    <w:widowControl/>
                    <w:spacing w:line="0" w:lineRule="atLeast"/>
                    <w:ind w:firstLine="0" w:firstLineChars="0"/>
                    <w:jc w:val="left"/>
                    <w:rPr>
                      <w:sz w:val="21"/>
                      <w:szCs w:val="21"/>
                    </w:rPr>
                  </w:pPr>
                  <w:r>
                    <w:rPr>
                      <w:rFonts w:hint="eastAsia" w:ascii="宋体" w:hAnsi="宋体" w:eastAsia="宋体" w:cs="宋体"/>
                      <w:kern w:val="0"/>
                      <w:sz w:val="21"/>
                      <w:szCs w:val="21"/>
                      <w:lang w:bidi="ar"/>
                    </w:rPr>
                    <w:t>根据《危险废物贮存污染控制标准》 （</w:t>
                  </w:r>
                  <w:r>
                    <w:rPr>
                      <w:rFonts w:eastAsia="宋体" w:cs="Times New Roman"/>
                      <w:kern w:val="0"/>
                      <w:sz w:val="21"/>
                      <w:szCs w:val="21"/>
                      <w:lang w:bidi="ar"/>
                    </w:rPr>
                    <w:t>GB18597-2001</w:t>
                  </w:r>
                  <w:r>
                    <w:rPr>
                      <w:rFonts w:hint="eastAsia" w:ascii="宋体" w:hAnsi="宋体" w:eastAsia="宋体" w:cs="宋体"/>
                      <w:kern w:val="0"/>
                      <w:sz w:val="21"/>
                      <w:szCs w:val="21"/>
                      <w:lang w:bidi="ar"/>
                    </w:rPr>
                    <w:t xml:space="preserve">），基础必须防渗，防渗层为至少 </w:t>
                  </w:r>
                  <w:r>
                    <w:rPr>
                      <w:rFonts w:eastAsia="宋体" w:cs="Times New Roman"/>
                      <w:kern w:val="0"/>
                      <w:sz w:val="21"/>
                      <w:szCs w:val="21"/>
                      <w:lang w:bidi="ar"/>
                    </w:rPr>
                    <w:t>1m</w:t>
                  </w:r>
                  <w:r>
                    <w:rPr>
                      <w:rFonts w:hint="eastAsia" w:ascii="宋体" w:hAnsi="宋体" w:eastAsia="宋体" w:cs="宋体"/>
                      <w:kern w:val="0"/>
                      <w:sz w:val="21"/>
                      <w:szCs w:val="21"/>
                      <w:lang w:bidi="ar"/>
                    </w:rPr>
                    <w:t>厚粘土层（渗透系数</w:t>
                  </w:r>
                  <w:r>
                    <w:rPr>
                      <w:rFonts w:eastAsia="宋体" w:cs="Times New Roman"/>
                      <w:kern w:val="0"/>
                      <w:sz w:val="21"/>
                      <w:szCs w:val="21"/>
                      <w:lang w:bidi="ar"/>
                    </w:rPr>
                    <w:t>≤10</w:t>
                  </w:r>
                  <w:r>
                    <w:rPr>
                      <w:rFonts w:eastAsia="宋体" w:cs="Times New Roman"/>
                      <w:kern w:val="0"/>
                      <w:sz w:val="21"/>
                      <w:szCs w:val="21"/>
                      <w:vertAlign w:val="superscript"/>
                      <w:lang w:bidi="ar"/>
                    </w:rPr>
                    <w:t>-7</w:t>
                  </w:r>
                  <w:r>
                    <w:rPr>
                      <w:rFonts w:eastAsia="宋体" w:cs="Times New Roman"/>
                      <w:kern w:val="0"/>
                      <w:sz w:val="21"/>
                      <w:szCs w:val="21"/>
                      <w:lang w:bidi="ar"/>
                    </w:rPr>
                    <w:t>cm/s</w:t>
                  </w:r>
                  <w:r>
                    <w:rPr>
                      <w:rFonts w:hint="eastAsia" w:ascii="宋体" w:hAnsi="宋体" w:eastAsia="宋体" w:cs="宋体"/>
                      <w:kern w:val="0"/>
                      <w:sz w:val="21"/>
                      <w:szCs w:val="21"/>
                      <w:lang w:bidi="ar"/>
                    </w:rPr>
                    <w:t>），或</w:t>
                  </w:r>
                  <w:r>
                    <w:rPr>
                      <w:rFonts w:eastAsia="宋体" w:cs="Times New Roman"/>
                      <w:kern w:val="0"/>
                      <w:sz w:val="21"/>
                      <w:szCs w:val="21"/>
                      <w:lang w:bidi="ar"/>
                    </w:rPr>
                    <w:t>2mm</w:t>
                  </w:r>
                  <w:r>
                    <w:rPr>
                      <w:rFonts w:hint="eastAsia" w:ascii="宋体" w:hAnsi="宋体" w:eastAsia="宋体" w:cs="宋体"/>
                      <w:kern w:val="0"/>
                      <w:sz w:val="21"/>
                      <w:szCs w:val="21"/>
                      <w:lang w:bidi="ar"/>
                    </w:rPr>
                    <w:t>厚高密度聚乙烯，或至少</w:t>
                  </w:r>
                  <w:r>
                    <w:rPr>
                      <w:rFonts w:eastAsia="宋体" w:cs="Times New Roman"/>
                      <w:kern w:val="0"/>
                      <w:sz w:val="21"/>
                      <w:szCs w:val="21"/>
                      <w:lang w:bidi="ar"/>
                    </w:rPr>
                    <w:t>2mm</w:t>
                  </w:r>
                  <w:r>
                    <w:rPr>
                      <w:rFonts w:hint="eastAsia" w:ascii="宋体" w:hAnsi="宋体" w:eastAsia="宋体" w:cs="宋体"/>
                      <w:kern w:val="0"/>
                      <w:sz w:val="21"/>
                      <w:szCs w:val="21"/>
                      <w:lang w:bidi="ar"/>
                    </w:rPr>
                    <w:t>厚的其他人工材料，渗透系数</w:t>
                  </w:r>
                  <w:r>
                    <w:rPr>
                      <w:rFonts w:eastAsia="宋体" w:cs="Times New Roman"/>
                      <w:kern w:val="0"/>
                      <w:sz w:val="21"/>
                      <w:szCs w:val="21"/>
                      <w:lang w:bidi="ar"/>
                    </w:rPr>
                    <w:t>≤10</w:t>
                  </w:r>
                  <w:r>
                    <w:rPr>
                      <w:rFonts w:eastAsia="宋体" w:cs="Times New Roman"/>
                      <w:kern w:val="0"/>
                      <w:sz w:val="21"/>
                      <w:szCs w:val="21"/>
                      <w:vertAlign w:val="superscript"/>
                      <w:lang w:bidi="ar"/>
                    </w:rPr>
                    <w:t>-10</w:t>
                  </w:r>
                  <w:r>
                    <w:rPr>
                      <w:rFonts w:eastAsia="宋体" w:cs="Times New Roman"/>
                      <w:kern w:val="0"/>
                      <w:sz w:val="21"/>
                      <w:szCs w:val="21"/>
                      <w:lang w:bidi="ar"/>
                    </w:rPr>
                    <w:t>cm/s</w:t>
                  </w:r>
                  <w:r>
                    <w:rPr>
                      <w:rFonts w:hint="eastAsia" w:ascii="宋体" w:hAnsi="宋体" w:eastAsia="宋体" w:cs="宋体"/>
                      <w:kern w:val="0"/>
                      <w:sz w:val="21"/>
                      <w:szCs w:val="21"/>
                      <w:lang w:bidi="ar"/>
                    </w:rPr>
                    <w:t>。地面与裙脚要用坚固、防 渗、防腐蚀的材料建造</w:t>
                  </w:r>
                </w:p>
              </w:tc>
              <w:tc>
                <w:tcPr>
                  <w:tcW w:w="2182" w:type="dxa"/>
                  <w:vAlign w:val="center"/>
                </w:tcPr>
                <w:p>
                  <w:pPr>
                    <w:spacing w:line="0" w:lineRule="atLeast"/>
                    <w:ind w:firstLine="0" w:firstLineChars="0"/>
                    <w:jc w:val="center"/>
                    <w:rPr>
                      <w:sz w:val="21"/>
                      <w:szCs w:val="21"/>
                    </w:rPr>
                  </w:pPr>
                  <w:r>
                    <w:rPr>
                      <w:rFonts w:hint="eastAsia"/>
                      <w:sz w:val="21"/>
                      <w:szCs w:val="21"/>
                    </w:rPr>
                    <w:t>防渗系数K≤1×10</w:t>
                  </w:r>
                  <w:r>
                    <w:rPr>
                      <w:sz w:val="21"/>
                      <w:szCs w:val="21"/>
                      <w:vertAlign w:val="superscript"/>
                    </w:rPr>
                    <w:t>-</w:t>
                  </w:r>
                  <w:r>
                    <w:rPr>
                      <w:rFonts w:hint="eastAsia"/>
                      <w:sz w:val="21"/>
                      <w:szCs w:val="21"/>
                      <w:vertAlign w:val="superscript"/>
                    </w:rPr>
                    <w:t>10</w:t>
                  </w:r>
                  <w:r>
                    <w:rPr>
                      <w:rFonts w:hint="eastAsia"/>
                      <w:sz w:val="21"/>
                      <w:szCs w:val="21"/>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Align w:val="center"/>
                </w:tcPr>
                <w:p>
                  <w:pPr>
                    <w:spacing w:line="0" w:lineRule="atLeast"/>
                    <w:ind w:firstLine="0" w:firstLineChars="0"/>
                    <w:jc w:val="center"/>
                    <w:rPr>
                      <w:sz w:val="21"/>
                      <w:szCs w:val="21"/>
                    </w:rPr>
                  </w:pPr>
                  <w:r>
                    <w:rPr>
                      <w:rFonts w:hint="eastAsia"/>
                      <w:sz w:val="21"/>
                      <w:szCs w:val="21"/>
                    </w:rPr>
                    <w:t>一般防渗区</w:t>
                  </w:r>
                </w:p>
              </w:tc>
              <w:tc>
                <w:tcPr>
                  <w:tcW w:w="1431" w:type="dxa"/>
                  <w:vAlign w:val="center"/>
                </w:tcPr>
                <w:p>
                  <w:pPr>
                    <w:spacing w:line="0" w:lineRule="atLeast"/>
                    <w:ind w:firstLine="0" w:firstLineChars="0"/>
                    <w:jc w:val="center"/>
                    <w:rPr>
                      <w:sz w:val="21"/>
                      <w:szCs w:val="21"/>
                    </w:rPr>
                  </w:pPr>
                  <w:r>
                    <w:rPr>
                      <w:rFonts w:hint="eastAsia"/>
                      <w:sz w:val="21"/>
                      <w:szCs w:val="21"/>
                    </w:rPr>
                    <w:t>污水处理站</w:t>
                  </w:r>
                </w:p>
              </w:tc>
              <w:tc>
                <w:tcPr>
                  <w:tcW w:w="3341" w:type="dxa"/>
                </w:tcPr>
                <w:p>
                  <w:pPr>
                    <w:widowControl/>
                    <w:spacing w:line="0" w:lineRule="atLeast"/>
                    <w:ind w:firstLine="0" w:firstLineChars="0"/>
                    <w:jc w:val="left"/>
                    <w:rPr>
                      <w:sz w:val="21"/>
                      <w:szCs w:val="21"/>
                    </w:rPr>
                  </w:pPr>
                  <w:r>
                    <w:rPr>
                      <w:rFonts w:hint="eastAsia" w:ascii="宋体" w:hAnsi="宋体" w:eastAsia="宋体" w:cs="宋体"/>
                      <w:kern w:val="0"/>
                      <w:sz w:val="21"/>
                      <w:szCs w:val="21"/>
                      <w:lang w:bidi="ar"/>
                    </w:rPr>
                    <w:t>基础铺设</w:t>
                  </w:r>
                  <w:r>
                    <w:rPr>
                      <w:rFonts w:eastAsia="宋体" w:cs="Times New Roman"/>
                      <w:kern w:val="0"/>
                      <w:sz w:val="21"/>
                      <w:szCs w:val="21"/>
                      <w:lang w:bidi="ar"/>
                    </w:rPr>
                    <w:t>10cm</w:t>
                  </w:r>
                  <w:r>
                    <w:rPr>
                      <w:rFonts w:hint="eastAsia" w:ascii="宋体" w:hAnsi="宋体" w:eastAsia="宋体" w:cs="宋体"/>
                      <w:kern w:val="0"/>
                      <w:sz w:val="21"/>
                      <w:szCs w:val="21"/>
                      <w:lang w:bidi="ar"/>
                    </w:rPr>
                    <w:t>厚三合土夯实，上层为</w:t>
                  </w:r>
                  <w:r>
                    <w:rPr>
                      <w:rFonts w:eastAsia="宋体" w:cs="Times New Roman"/>
                      <w:kern w:val="0"/>
                      <w:sz w:val="21"/>
                      <w:szCs w:val="21"/>
                      <w:lang w:bidi="ar"/>
                    </w:rPr>
                    <w:t>15cm</w:t>
                  </w:r>
                  <w:r>
                    <w:rPr>
                      <w:rFonts w:hint="eastAsia" w:ascii="宋体" w:hAnsi="宋体" w:eastAsia="宋体" w:cs="宋体"/>
                      <w:kern w:val="0"/>
                      <w:sz w:val="21"/>
                      <w:szCs w:val="21"/>
                      <w:lang w:bidi="ar"/>
                    </w:rPr>
                    <w:t>厚水泥硬化，四周用砖砌再用水泥硬化防渗</w:t>
                  </w:r>
                </w:p>
              </w:tc>
              <w:tc>
                <w:tcPr>
                  <w:tcW w:w="2182" w:type="dxa"/>
                  <w:vAlign w:val="center"/>
                </w:tcPr>
                <w:p>
                  <w:pPr>
                    <w:widowControl/>
                    <w:spacing w:line="0" w:lineRule="atLeast"/>
                    <w:ind w:firstLine="0" w:firstLineChars="0"/>
                    <w:jc w:val="left"/>
                    <w:rPr>
                      <w:sz w:val="21"/>
                      <w:szCs w:val="21"/>
                    </w:rPr>
                  </w:pPr>
                  <w:r>
                    <w:rPr>
                      <w:rFonts w:hint="eastAsia" w:ascii="宋体" w:hAnsi="宋体" w:eastAsia="宋体" w:cs="宋体"/>
                      <w:kern w:val="0"/>
                      <w:sz w:val="21"/>
                      <w:szCs w:val="21"/>
                      <w:lang w:bidi="ar"/>
                    </w:rPr>
                    <w:t xml:space="preserve">等效黏土防渗层 </w:t>
                  </w:r>
                  <w:r>
                    <w:rPr>
                      <w:rFonts w:eastAsia="宋体" w:cs="Times New Roman"/>
                      <w:kern w:val="0"/>
                      <w:sz w:val="21"/>
                      <w:szCs w:val="21"/>
                      <w:lang w:bidi="ar"/>
                    </w:rPr>
                    <w:t>Mb≥1.5m</w:t>
                  </w:r>
                  <w:r>
                    <w:rPr>
                      <w:rFonts w:hint="eastAsia" w:eastAsia="宋体" w:cs="Times New Roman"/>
                      <w:kern w:val="0"/>
                      <w:sz w:val="21"/>
                      <w:szCs w:val="21"/>
                      <w:lang w:bidi="ar"/>
                    </w:rPr>
                    <w:t>，</w:t>
                  </w:r>
                  <w:r>
                    <w:rPr>
                      <w:rFonts w:eastAsia="宋体" w:cs="Times New Roman"/>
                      <w:kern w:val="0"/>
                      <w:sz w:val="21"/>
                      <w:szCs w:val="21"/>
                      <w:lang w:bidi="ar"/>
                    </w:rPr>
                    <w:t>K≤1×10</w:t>
                  </w:r>
                  <w:r>
                    <w:rPr>
                      <w:rFonts w:eastAsia="宋体" w:cs="Times New Roman"/>
                      <w:kern w:val="0"/>
                      <w:sz w:val="21"/>
                      <w:szCs w:val="21"/>
                      <w:vertAlign w:val="superscript"/>
                      <w:lang w:bidi="ar"/>
                    </w:rPr>
                    <w:t>-7</w:t>
                  </w:r>
                  <w:r>
                    <w:rPr>
                      <w:rFonts w:eastAsia="宋体" w:cs="Times New Roman"/>
                      <w:kern w:val="0"/>
                      <w:sz w:val="21"/>
                      <w:szCs w:val="21"/>
                      <w:lang w:bidi="ar"/>
                    </w:rPr>
                    <w:t>cm/s</w:t>
                  </w:r>
                  <w:r>
                    <w:rPr>
                      <w:rFonts w:hint="eastAsia" w:ascii="宋体" w:hAnsi="宋体" w:eastAsia="宋体" w:cs="宋体"/>
                      <w:kern w:val="0"/>
                      <w:sz w:val="21"/>
                      <w:szCs w:val="21"/>
                      <w:lang w:bidi="ar"/>
                    </w:rPr>
                    <w:t>；或参照</w:t>
                  </w:r>
                  <w:r>
                    <w:rPr>
                      <w:rFonts w:eastAsia="宋体" w:cs="Times New Roman"/>
                      <w:kern w:val="0"/>
                      <w:sz w:val="21"/>
                      <w:szCs w:val="21"/>
                      <w:lang w:bidi="ar"/>
                    </w:rPr>
                    <w:t xml:space="preserve">GB16889 </w:t>
                  </w:r>
                  <w:r>
                    <w:rPr>
                      <w:rFonts w:hint="eastAsia" w:ascii="宋体" w:hAnsi="宋体" w:eastAsia="宋体" w:cs="宋体"/>
                      <w:kern w:val="0"/>
                      <w:sz w:val="21"/>
                      <w:szCs w:val="21"/>
                      <w:lang w:bidi="ar"/>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Align w:val="center"/>
                </w:tcPr>
                <w:p>
                  <w:pPr>
                    <w:spacing w:line="0" w:lineRule="atLeast"/>
                    <w:ind w:firstLine="0" w:firstLineChars="0"/>
                    <w:jc w:val="center"/>
                    <w:rPr>
                      <w:sz w:val="21"/>
                      <w:szCs w:val="21"/>
                    </w:rPr>
                  </w:pPr>
                  <w:r>
                    <w:rPr>
                      <w:rFonts w:hint="eastAsia"/>
                      <w:sz w:val="21"/>
                      <w:szCs w:val="21"/>
                    </w:rPr>
                    <w:t>简单防渗区</w:t>
                  </w:r>
                </w:p>
              </w:tc>
              <w:tc>
                <w:tcPr>
                  <w:tcW w:w="1431" w:type="dxa"/>
                  <w:vAlign w:val="center"/>
                </w:tcPr>
                <w:p>
                  <w:pPr>
                    <w:spacing w:line="0" w:lineRule="atLeast"/>
                    <w:ind w:firstLine="0" w:firstLineChars="0"/>
                    <w:jc w:val="center"/>
                    <w:rPr>
                      <w:sz w:val="21"/>
                      <w:szCs w:val="21"/>
                    </w:rPr>
                  </w:pPr>
                  <w:r>
                    <w:rPr>
                      <w:rFonts w:hint="eastAsia"/>
                      <w:sz w:val="21"/>
                      <w:szCs w:val="21"/>
                    </w:rPr>
                    <w:t>生活办公区</w:t>
                  </w:r>
                </w:p>
              </w:tc>
              <w:tc>
                <w:tcPr>
                  <w:tcW w:w="3341" w:type="dxa"/>
                </w:tcPr>
                <w:p>
                  <w:pPr>
                    <w:widowControl/>
                    <w:spacing w:line="0" w:lineRule="atLeast"/>
                    <w:ind w:firstLine="0" w:firstLineChars="0"/>
                    <w:jc w:val="left"/>
                    <w:rPr>
                      <w:sz w:val="21"/>
                      <w:szCs w:val="21"/>
                    </w:rPr>
                  </w:pPr>
                  <w:r>
                    <w:rPr>
                      <w:rFonts w:hint="eastAsia" w:ascii="宋体" w:hAnsi="宋体" w:eastAsia="宋体" w:cs="宋体"/>
                      <w:kern w:val="0"/>
                      <w:sz w:val="21"/>
                      <w:szCs w:val="21"/>
                      <w:lang w:bidi="ar"/>
                    </w:rPr>
                    <w:t>除绿化区全部进行水泥硬化处理，基础采用</w:t>
                  </w:r>
                  <w:r>
                    <w:rPr>
                      <w:rFonts w:ascii="宋体" w:hAnsi="宋体" w:eastAsia="宋体" w:cs="宋体"/>
                      <w:kern w:val="0"/>
                      <w:sz w:val="21"/>
                      <w:szCs w:val="21"/>
                      <w:lang w:bidi="ar"/>
                    </w:rPr>
                    <w:t>10cm</w:t>
                  </w:r>
                  <w:r>
                    <w:rPr>
                      <w:rFonts w:hint="eastAsia" w:ascii="宋体" w:hAnsi="宋体" w:eastAsia="宋体" w:cs="宋体"/>
                      <w:kern w:val="0"/>
                      <w:sz w:val="21"/>
                      <w:szCs w:val="21"/>
                      <w:lang w:bidi="ar"/>
                    </w:rPr>
                    <w:t>厚三合土，上层为</w:t>
                  </w:r>
                  <w:r>
                    <w:rPr>
                      <w:rFonts w:ascii="宋体" w:hAnsi="宋体" w:eastAsia="宋体" w:cs="宋体"/>
                      <w:kern w:val="0"/>
                      <w:sz w:val="21"/>
                      <w:szCs w:val="21"/>
                      <w:lang w:bidi="ar"/>
                    </w:rPr>
                    <w:t xml:space="preserve">10cm </w:t>
                  </w:r>
                  <w:r>
                    <w:rPr>
                      <w:rFonts w:hint="eastAsia" w:ascii="宋体" w:hAnsi="宋体" w:eastAsia="宋体" w:cs="宋体"/>
                      <w:kern w:val="0"/>
                      <w:sz w:val="21"/>
                      <w:szCs w:val="21"/>
                      <w:lang w:bidi="ar"/>
                    </w:rPr>
                    <w:t>厚水泥硬化</w:t>
                  </w:r>
                </w:p>
              </w:tc>
              <w:tc>
                <w:tcPr>
                  <w:tcW w:w="2182" w:type="dxa"/>
                  <w:vAlign w:val="center"/>
                </w:tcPr>
                <w:p>
                  <w:pPr>
                    <w:spacing w:line="0" w:lineRule="atLeast"/>
                    <w:ind w:firstLine="0" w:firstLineChars="0"/>
                    <w:jc w:val="center"/>
                    <w:rPr>
                      <w:sz w:val="21"/>
                      <w:szCs w:val="21"/>
                    </w:rPr>
                  </w:pPr>
                  <w:r>
                    <w:rPr>
                      <w:rFonts w:hint="eastAsia"/>
                      <w:sz w:val="21"/>
                      <w:szCs w:val="21"/>
                    </w:rPr>
                    <w:t>一般地面硬化</w:t>
                  </w:r>
                </w:p>
              </w:tc>
            </w:tr>
          </w:tbl>
          <w:p>
            <w:pPr>
              <w:ind w:firstLine="480"/>
            </w:pPr>
            <w:r>
              <w:rPr>
                <w:rFonts w:hint="eastAsia"/>
              </w:rPr>
              <w:t>综上所述，只要做好以上保护措施，做好防渗漏处理，并加强监督和管理，项目营运期不会对周围地下水环境产生影响。</w:t>
            </w:r>
          </w:p>
          <w:p>
            <w:pPr>
              <w:pStyle w:val="33"/>
              <w:ind w:firstLine="482"/>
            </w:pPr>
            <w:r>
              <w:rPr>
                <w:rFonts w:hint="eastAsia"/>
              </w:rPr>
              <w:t>6、生态影响和保护措施</w:t>
            </w:r>
          </w:p>
          <w:p>
            <w:pPr>
              <w:ind w:firstLine="480"/>
              <w:rPr>
                <w:rFonts w:eastAsia="宋体" w:cs="Times New Roman"/>
                <w:szCs w:val="24"/>
              </w:rPr>
            </w:pPr>
            <w:r>
              <w:rPr>
                <w:rFonts w:eastAsia="宋体" w:cs="Times New Roman"/>
                <w:szCs w:val="24"/>
              </w:rPr>
              <w:t>本项目位于</w:t>
            </w:r>
            <w:r>
              <w:rPr>
                <w:rFonts w:hint="eastAsia" w:eastAsia="宋体" w:cs="Times New Roman"/>
                <w:szCs w:val="24"/>
              </w:rPr>
              <w:t>姚安县栋川真下新屯村委会</w:t>
            </w:r>
            <w:r>
              <w:rPr>
                <w:rFonts w:eastAsia="宋体" w:cs="Times New Roman"/>
                <w:szCs w:val="24"/>
              </w:rPr>
              <w:t>，属于</w:t>
            </w:r>
            <w:r>
              <w:rPr>
                <w:rFonts w:hint="eastAsia" w:eastAsia="宋体" w:cs="Times New Roman"/>
                <w:szCs w:val="24"/>
              </w:rPr>
              <w:t>城镇建成区，且本项目已建成并运营多年，此次为完善环保设施只进行污水处理站的建设，在原有卫生院占地范围内建设，不新增土地，对生态影响很小。</w:t>
            </w:r>
          </w:p>
          <w:p>
            <w:pPr>
              <w:pStyle w:val="33"/>
              <w:ind w:firstLine="482"/>
            </w:pPr>
            <w:r>
              <w:t>7</w:t>
            </w:r>
            <w:r>
              <w:rPr>
                <w:rFonts w:hint="eastAsia"/>
              </w:rPr>
              <w:t>、环境风险</w:t>
            </w:r>
          </w:p>
          <w:p>
            <w:pPr>
              <w:ind w:firstLine="482"/>
              <w:rPr>
                <w:rFonts w:eastAsia="宋体" w:cs="Times New Roman"/>
                <w:b/>
                <w:bCs/>
                <w:szCs w:val="24"/>
              </w:rPr>
            </w:pPr>
            <w:r>
              <w:rPr>
                <w:rFonts w:hint="eastAsia" w:eastAsia="宋体" w:cs="Times New Roman"/>
                <w:b/>
                <w:bCs/>
                <w:szCs w:val="24"/>
              </w:rPr>
              <w:t>1、</w:t>
            </w:r>
            <w:r>
              <w:rPr>
                <w:rFonts w:eastAsia="宋体" w:cs="Times New Roman"/>
                <w:b/>
                <w:bCs/>
                <w:szCs w:val="24"/>
              </w:rPr>
              <w:t>建设项目风险源调查</w:t>
            </w:r>
          </w:p>
          <w:p>
            <w:pPr>
              <w:widowControl/>
              <w:ind w:firstLine="480"/>
              <w:jc w:val="left"/>
              <w:rPr>
                <w:rFonts w:eastAsia="宋体" w:cs="Times New Roman"/>
                <w:szCs w:val="24"/>
              </w:rPr>
            </w:pPr>
            <w:r>
              <w:rPr>
                <w:rFonts w:hint="eastAsia" w:ascii="宋体" w:hAnsi="宋体" w:eastAsia="宋体" w:cs="宋体"/>
                <w:kern w:val="0"/>
                <w:szCs w:val="24"/>
                <w:lang w:bidi="ar"/>
              </w:rPr>
              <w:t>本项目涉及的风险源为氧气、酒精和次氯酸钠，其中次氯酸钠为危险化学品。</w:t>
            </w:r>
            <w:r>
              <w:rPr>
                <w:rFonts w:eastAsia="宋体" w:cs="Times New Roman"/>
                <w:szCs w:val="24"/>
              </w:rPr>
              <w:t>本项目环境风险源基本情况详见表</w:t>
            </w:r>
            <w:r>
              <w:rPr>
                <w:rFonts w:hint="eastAsia" w:eastAsia="宋体" w:cs="Times New Roman"/>
                <w:szCs w:val="24"/>
              </w:rPr>
              <w:t>4</w:t>
            </w:r>
            <w:r>
              <w:rPr>
                <w:rFonts w:eastAsia="宋体" w:cs="Times New Roman"/>
                <w:szCs w:val="24"/>
              </w:rPr>
              <w:t>-</w:t>
            </w:r>
            <w:r>
              <w:rPr>
                <w:rFonts w:hint="eastAsia" w:eastAsia="宋体" w:cs="Times New Roman"/>
                <w:szCs w:val="24"/>
              </w:rPr>
              <w:t>16</w:t>
            </w:r>
            <w:r>
              <w:rPr>
                <w:rFonts w:eastAsia="宋体" w:cs="Times New Roman"/>
                <w:szCs w:val="24"/>
              </w:rPr>
              <w:t>。</w:t>
            </w:r>
          </w:p>
          <w:p>
            <w:pPr>
              <w:ind w:firstLine="482"/>
              <w:jc w:val="center"/>
              <w:rPr>
                <w:rFonts w:eastAsia="宋体" w:cs="Times New Roman"/>
                <w:b/>
                <w:bCs/>
                <w:szCs w:val="24"/>
              </w:rPr>
            </w:pPr>
            <w:r>
              <w:rPr>
                <w:rFonts w:eastAsia="宋体" w:cs="Times New Roman"/>
                <w:b/>
                <w:bCs/>
                <w:szCs w:val="24"/>
              </w:rPr>
              <w:t>表</w:t>
            </w:r>
            <w:r>
              <w:rPr>
                <w:rFonts w:hint="eastAsia" w:eastAsia="宋体" w:cs="Times New Roman"/>
                <w:b/>
                <w:bCs/>
                <w:szCs w:val="24"/>
              </w:rPr>
              <w:t xml:space="preserve">4-16 </w:t>
            </w:r>
            <w:r>
              <w:rPr>
                <w:rFonts w:eastAsia="宋体" w:cs="Times New Roman"/>
                <w:b/>
                <w:bCs/>
                <w:szCs w:val="24"/>
              </w:rPr>
              <w:t>项目环境风险源基本情况</w:t>
            </w:r>
          </w:p>
          <w:tbl>
            <w:tblPr>
              <w:tblStyle w:val="37"/>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081"/>
              <w:gridCol w:w="1078"/>
              <w:gridCol w:w="1322"/>
              <w:gridCol w:w="1964"/>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adjustRightInd w:val="0"/>
                    <w:snapToGrid w:val="0"/>
                    <w:spacing w:line="0" w:lineRule="atLeast"/>
                    <w:ind w:firstLine="0" w:firstLineChars="0"/>
                    <w:jc w:val="center"/>
                    <w:rPr>
                      <w:rFonts w:eastAsia="宋体" w:cs="Times New Roman"/>
                      <w:b/>
                      <w:bCs/>
                      <w:sz w:val="21"/>
                      <w:szCs w:val="21"/>
                    </w:rPr>
                  </w:pPr>
                  <w:r>
                    <w:rPr>
                      <w:rFonts w:eastAsia="宋体" w:cs="Times New Roman"/>
                      <w:b/>
                      <w:bCs/>
                      <w:sz w:val="21"/>
                      <w:szCs w:val="21"/>
                    </w:rPr>
                    <w:t>序号</w:t>
                  </w:r>
                </w:p>
              </w:tc>
              <w:tc>
                <w:tcPr>
                  <w:tcW w:w="1081" w:type="dxa"/>
                  <w:vAlign w:val="center"/>
                </w:tcPr>
                <w:p>
                  <w:pPr>
                    <w:adjustRightInd w:val="0"/>
                    <w:snapToGrid w:val="0"/>
                    <w:spacing w:line="0" w:lineRule="atLeast"/>
                    <w:ind w:firstLine="0" w:firstLineChars="0"/>
                    <w:jc w:val="center"/>
                    <w:rPr>
                      <w:rFonts w:eastAsia="宋体" w:cs="Times New Roman"/>
                      <w:b/>
                      <w:bCs/>
                      <w:sz w:val="21"/>
                      <w:szCs w:val="21"/>
                    </w:rPr>
                  </w:pPr>
                  <w:r>
                    <w:rPr>
                      <w:rFonts w:eastAsia="宋体" w:cs="Times New Roman"/>
                      <w:b/>
                      <w:bCs/>
                      <w:sz w:val="21"/>
                      <w:szCs w:val="21"/>
                    </w:rPr>
                    <w:t>名称</w:t>
                  </w:r>
                </w:p>
              </w:tc>
              <w:tc>
                <w:tcPr>
                  <w:tcW w:w="1078" w:type="dxa"/>
                  <w:vAlign w:val="center"/>
                </w:tcPr>
                <w:p>
                  <w:pPr>
                    <w:adjustRightInd w:val="0"/>
                    <w:snapToGrid w:val="0"/>
                    <w:spacing w:line="0" w:lineRule="atLeast"/>
                    <w:ind w:firstLine="0" w:firstLineChars="0"/>
                    <w:jc w:val="center"/>
                    <w:rPr>
                      <w:rFonts w:eastAsia="宋体" w:cs="Times New Roman"/>
                      <w:b/>
                      <w:bCs/>
                      <w:sz w:val="21"/>
                      <w:szCs w:val="21"/>
                    </w:rPr>
                  </w:pPr>
                  <w:r>
                    <w:rPr>
                      <w:rFonts w:eastAsia="宋体" w:cs="Times New Roman"/>
                      <w:b/>
                      <w:bCs/>
                      <w:sz w:val="21"/>
                      <w:szCs w:val="21"/>
                    </w:rPr>
                    <w:t>年消耗量（t）</w:t>
                  </w:r>
                </w:p>
              </w:tc>
              <w:tc>
                <w:tcPr>
                  <w:tcW w:w="1322" w:type="dxa"/>
                  <w:vAlign w:val="center"/>
                </w:tcPr>
                <w:p>
                  <w:pPr>
                    <w:adjustRightInd w:val="0"/>
                    <w:snapToGrid w:val="0"/>
                    <w:spacing w:line="0" w:lineRule="atLeast"/>
                    <w:ind w:firstLine="0" w:firstLineChars="0"/>
                    <w:jc w:val="center"/>
                    <w:rPr>
                      <w:rFonts w:eastAsia="宋体" w:cs="Times New Roman"/>
                      <w:b/>
                      <w:bCs/>
                      <w:sz w:val="21"/>
                      <w:szCs w:val="21"/>
                    </w:rPr>
                  </w:pPr>
                  <w:r>
                    <w:rPr>
                      <w:rFonts w:eastAsia="宋体" w:cs="Times New Roman"/>
                      <w:b/>
                      <w:bCs/>
                      <w:sz w:val="21"/>
                      <w:szCs w:val="21"/>
                    </w:rPr>
                    <w:t>最大存储量（t）</w:t>
                  </w:r>
                </w:p>
              </w:tc>
              <w:tc>
                <w:tcPr>
                  <w:tcW w:w="1964" w:type="dxa"/>
                  <w:vAlign w:val="center"/>
                </w:tcPr>
                <w:p>
                  <w:pPr>
                    <w:adjustRightInd w:val="0"/>
                    <w:snapToGrid w:val="0"/>
                    <w:spacing w:line="0" w:lineRule="atLeast"/>
                    <w:ind w:firstLine="0" w:firstLineChars="0"/>
                    <w:jc w:val="center"/>
                    <w:rPr>
                      <w:rFonts w:eastAsia="宋体" w:cs="Times New Roman"/>
                      <w:b/>
                      <w:bCs/>
                      <w:sz w:val="21"/>
                      <w:szCs w:val="21"/>
                    </w:rPr>
                  </w:pPr>
                  <w:r>
                    <w:rPr>
                      <w:rFonts w:eastAsia="宋体" w:cs="Times New Roman"/>
                      <w:b/>
                      <w:bCs/>
                      <w:sz w:val="21"/>
                      <w:szCs w:val="21"/>
                    </w:rPr>
                    <w:t>储存方式</w:t>
                  </w:r>
                </w:p>
              </w:tc>
              <w:tc>
                <w:tcPr>
                  <w:tcW w:w="2023" w:type="dxa"/>
                  <w:tcBorders>
                    <w:right w:val="single" w:color="000000" w:sz="8" w:space="0"/>
                  </w:tcBorders>
                  <w:vAlign w:val="center"/>
                </w:tcPr>
                <w:p>
                  <w:pPr>
                    <w:adjustRightInd w:val="0"/>
                    <w:snapToGrid w:val="0"/>
                    <w:spacing w:line="0" w:lineRule="atLeast"/>
                    <w:ind w:firstLine="0" w:firstLineChars="0"/>
                    <w:jc w:val="center"/>
                    <w:rPr>
                      <w:rFonts w:eastAsia="宋体" w:cs="Times New Roman"/>
                      <w:b/>
                      <w:bCs/>
                      <w:sz w:val="21"/>
                      <w:szCs w:val="21"/>
                    </w:rPr>
                  </w:pPr>
                  <w:r>
                    <w:rPr>
                      <w:rFonts w:hint="eastAsia" w:eastAsia="宋体" w:cs="Times New Roman"/>
                      <w:b/>
                      <w:bCs/>
                      <w:sz w:val="21"/>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adjustRightInd w:val="0"/>
                    <w:snapToGrid w:val="0"/>
                    <w:spacing w:line="0" w:lineRule="atLeast"/>
                    <w:ind w:firstLine="0" w:firstLineChars="0"/>
                    <w:jc w:val="center"/>
                    <w:rPr>
                      <w:rFonts w:eastAsia="宋体" w:cs="Times New Roman"/>
                      <w:sz w:val="21"/>
                      <w:szCs w:val="21"/>
                    </w:rPr>
                  </w:pPr>
                  <w:r>
                    <w:rPr>
                      <w:rFonts w:eastAsia="宋体" w:cs="Times New Roman"/>
                      <w:sz w:val="21"/>
                      <w:szCs w:val="21"/>
                    </w:rPr>
                    <w:t>1</w:t>
                  </w:r>
                </w:p>
              </w:tc>
              <w:tc>
                <w:tcPr>
                  <w:tcW w:w="1081" w:type="dxa"/>
                  <w:vAlign w:val="center"/>
                </w:tcPr>
                <w:p>
                  <w:pPr>
                    <w:spacing w:line="0" w:lineRule="atLeast"/>
                    <w:ind w:firstLine="0" w:firstLineChars="0"/>
                    <w:jc w:val="center"/>
                    <w:rPr>
                      <w:rFonts w:eastAsia="宋体" w:cs="Times New Roman"/>
                      <w:sz w:val="21"/>
                      <w:szCs w:val="21"/>
                    </w:rPr>
                  </w:pPr>
                  <w:r>
                    <w:rPr>
                      <w:rFonts w:eastAsia="宋体" w:cs="Times New Roman"/>
                      <w:sz w:val="21"/>
                      <w:szCs w:val="21"/>
                    </w:rPr>
                    <w:t>酒精</w:t>
                  </w:r>
                </w:p>
              </w:tc>
              <w:tc>
                <w:tcPr>
                  <w:tcW w:w="1078" w:type="dxa"/>
                  <w:vAlign w:val="center"/>
                </w:tcPr>
                <w:p>
                  <w:pPr>
                    <w:pStyle w:val="182"/>
                    <w:adjustRightInd w:val="0"/>
                    <w:snapToGrid w:val="0"/>
                    <w:spacing w:line="0" w:lineRule="atLeast"/>
                    <w:ind w:firstLine="0" w:firstLineChars="0"/>
                    <w:rPr>
                      <w:rFonts w:hAnsi="Times New Roman" w:eastAsia="宋体" w:cs="Times New Roman"/>
                    </w:rPr>
                  </w:pPr>
                  <w:r>
                    <w:rPr>
                      <w:rFonts w:hAnsi="Times New Roman" w:eastAsia="宋体" w:cs="Times New Roman"/>
                    </w:rPr>
                    <w:t>0.0257</w:t>
                  </w:r>
                </w:p>
              </w:tc>
              <w:tc>
                <w:tcPr>
                  <w:tcW w:w="1322" w:type="dxa"/>
                  <w:vAlign w:val="center"/>
                </w:tcPr>
                <w:p>
                  <w:pPr>
                    <w:pStyle w:val="182"/>
                    <w:adjustRightInd w:val="0"/>
                    <w:snapToGrid w:val="0"/>
                    <w:spacing w:line="0" w:lineRule="atLeast"/>
                    <w:ind w:firstLine="0" w:firstLineChars="0"/>
                    <w:rPr>
                      <w:rFonts w:hAnsi="Times New Roman" w:eastAsia="宋体" w:cs="Times New Roman"/>
                    </w:rPr>
                  </w:pPr>
                  <w:r>
                    <w:rPr>
                      <w:rFonts w:hAnsi="Times New Roman" w:eastAsia="宋体" w:cs="Times New Roman"/>
                    </w:rPr>
                    <w:t>0.0257</w:t>
                  </w:r>
                </w:p>
              </w:tc>
              <w:tc>
                <w:tcPr>
                  <w:tcW w:w="1964" w:type="dxa"/>
                  <w:vAlign w:val="center"/>
                </w:tcPr>
                <w:p>
                  <w:pPr>
                    <w:pStyle w:val="178"/>
                    <w:snapToGrid w:val="0"/>
                    <w:spacing w:line="0" w:lineRule="atLeast"/>
                  </w:pPr>
                  <w:r>
                    <w:t>瓶装（100mL/瓶）</w:t>
                  </w:r>
                </w:p>
              </w:tc>
              <w:tc>
                <w:tcPr>
                  <w:tcW w:w="2023" w:type="dxa"/>
                  <w:tcBorders>
                    <w:right w:val="single" w:color="000000" w:sz="8" w:space="0"/>
                  </w:tcBorders>
                  <w:vAlign w:val="center"/>
                </w:tcPr>
                <w:p>
                  <w:pPr>
                    <w:adjustRightInd w:val="0"/>
                    <w:snapToGrid w:val="0"/>
                    <w:spacing w:line="0" w:lineRule="atLeast"/>
                    <w:ind w:firstLine="0" w:firstLineChars="0"/>
                    <w:jc w:val="center"/>
                    <w:rPr>
                      <w:rFonts w:eastAsia="宋体" w:cs="Times New Roman"/>
                      <w:sz w:val="21"/>
                      <w:szCs w:val="21"/>
                    </w:rPr>
                  </w:pPr>
                  <w:r>
                    <w:rPr>
                      <w:rFonts w:hint="eastAsia" w:eastAsia="宋体" w:cs="Times New Roman"/>
                      <w:sz w:val="21"/>
                      <w:szCs w:val="21"/>
                    </w:rPr>
                    <w:t>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adjustRightInd w:val="0"/>
                    <w:snapToGrid w:val="0"/>
                    <w:spacing w:line="0" w:lineRule="atLeast"/>
                    <w:ind w:firstLine="0" w:firstLineChars="0"/>
                    <w:jc w:val="center"/>
                    <w:rPr>
                      <w:rFonts w:eastAsia="宋体" w:cs="Times New Roman"/>
                      <w:sz w:val="21"/>
                      <w:szCs w:val="21"/>
                    </w:rPr>
                  </w:pPr>
                  <w:r>
                    <w:rPr>
                      <w:rFonts w:eastAsia="宋体" w:cs="Times New Roman"/>
                      <w:sz w:val="21"/>
                      <w:szCs w:val="21"/>
                    </w:rPr>
                    <w:t>2</w:t>
                  </w:r>
                </w:p>
              </w:tc>
              <w:tc>
                <w:tcPr>
                  <w:tcW w:w="1081" w:type="dxa"/>
                  <w:vAlign w:val="center"/>
                </w:tcPr>
                <w:p>
                  <w:pPr>
                    <w:spacing w:line="0" w:lineRule="atLeast"/>
                    <w:ind w:firstLine="0" w:firstLineChars="0"/>
                    <w:jc w:val="center"/>
                    <w:rPr>
                      <w:rFonts w:eastAsia="宋体" w:cs="Times New Roman"/>
                      <w:sz w:val="21"/>
                      <w:szCs w:val="21"/>
                    </w:rPr>
                  </w:pPr>
                  <w:r>
                    <w:rPr>
                      <w:rFonts w:eastAsia="宋体" w:cs="Times New Roman"/>
                      <w:sz w:val="21"/>
                      <w:szCs w:val="21"/>
                    </w:rPr>
                    <w:t>次氯酸钠</w:t>
                  </w:r>
                </w:p>
              </w:tc>
              <w:tc>
                <w:tcPr>
                  <w:tcW w:w="1078" w:type="dxa"/>
                  <w:vAlign w:val="center"/>
                </w:tcPr>
                <w:p>
                  <w:pPr>
                    <w:adjustRightInd w:val="0"/>
                    <w:snapToGrid w:val="0"/>
                    <w:spacing w:line="0" w:lineRule="atLeast"/>
                    <w:ind w:firstLine="0" w:firstLineChars="0"/>
                    <w:jc w:val="center"/>
                    <w:rPr>
                      <w:rFonts w:eastAsia="宋体" w:cs="Times New Roman"/>
                      <w:sz w:val="21"/>
                      <w:szCs w:val="21"/>
                    </w:rPr>
                  </w:pPr>
                  <w:r>
                    <w:rPr>
                      <w:rFonts w:eastAsia="宋体" w:cs="Times New Roman"/>
                      <w:sz w:val="21"/>
                      <w:szCs w:val="21"/>
                    </w:rPr>
                    <w:t>0.8</w:t>
                  </w:r>
                </w:p>
              </w:tc>
              <w:tc>
                <w:tcPr>
                  <w:tcW w:w="1322" w:type="dxa"/>
                  <w:vAlign w:val="center"/>
                </w:tcPr>
                <w:p>
                  <w:pPr>
                    <w:pStyle w:val="182"/>
                    <w:adjustRightInd w:val="0"/>
                    <w:snapToGrid w:val="0"/>
                    <w:spacing w:line="0" w:lineRule="atLeast"/>
                    <w:ind w:firstLine="0" w:firstLineChars="0"/>
                    <w:rPr>
                      <w:rFonts w:hAnsi="Times New Roman" w:eastAsia="宋体" w:cs="Times New Roman"/>
                    </w:rPr>
                  </w:pPr>
                  <w:r>
                    <w:rPr>
                      <w:rFonts w:hAnsi="Times New Roman" w:eastAsia="宋体" w:cs="Times New Roman"/>
                    </w:rPr>
                    <w:t>0.1</w:t>
                  </w:r>
                </w:p>
              </w:tc>
              <w:tc>
                <w:tcPr>
                  <w:tcW w:w="1964" w:type="dxa"/>
                  <w:vAlign w:val="center"/>
                </w:tcPr>
                <w:p>
                  <w:pPr>
                    <w:pStyle w:val="178"/>
                    <w:snapToGrid w:val="0"/>
                    <w:spacing w:line="0" w:lineRule="atLeast"/>
                  </w:pPr>
                  <w:r>
                    <w:t>PVC塑料外缠玻璃钢储罐</w:t>
                  </w:r>
                </w:p>
              </w:tc>
              <w:tc>
                <w:tcPr>
                  <w:tcW w:w="2023" w:type="dxa"/>
                  <w:tcBorders>
                    <w:right w:val="single" w:color="000000" w:sz="8" w:space="0"/>
                  </w:tcBorders>
                  <w:vAlign w:val="center"/>
                </w:tcPr>
                <w:p>
                  <w:pPr>
                    <w:adjustRightInd w:val="0"/>
                    <w:snapToGrid w:val="0"/>
                    <w:spacing w:line="0" w:lineRule="atLeast"/>
                    <w:ind w:firstLine="0" w:firstLineChars="0"/>
                    <w:jc w:val="center"/>
                    <w:rPr>
                      <w:rFonts w:eastAsia="宋体" w:cs="Times New Roman"/>
                      <w:sz w:val="21"/>
                      <w:szCs w:val="21"/>
                    </w:rPr>
                  </w:pPr>
                  <w:r>
                    <w:rPr>
                      <w:rFonts w:hint="eastAsia" w:eastAsia="宋体" w:cs="Times New Roman"/>
                      <w:sz w:val="21"/>
                      <w:szCs w:val="21"/>
                    </w:rPr>
                    <w:t>用于一体化污水处理站消毒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adjustRightInd w:val="0"/>
                    <w:snapToGrid w:val="0"/>
                    <w:spacing w:line="0" w:lineRule="atLeast"/>
                    <w:ind w:firstLine="0" w:firstLineChars="0"/>
                    <w:jc w:val="center"/>
                    <w:rPr>
                      <w:rFonts w:eastAsia="宋体" w:cs="Times New Roman"/>
                      <w:sz w:val="21"/>
                      <w:szCs w:val="21"/>
                    </w:rPr>
                  </w:pPr>
                  <w:r>
                    <w:rPr>
                      <w:rFonts w:eastAsia="宋体" w:cs="Times New Roman"/>
                      <w:sz w:val="21"/>
                      <w:szCs w:val="21"/>
                    </w:rPr>
                    <w:t>3</w:t>
                  </w:r>
                </w:p>
              </w:tc>
              <w:tc>
                <w:tcPr>
                  <w:tcW w:w="1081" w:type="dxa"/>
                  <w:vAlign w:val="center"/>
                </w:tcPr>
                <w:p>
                  <w:pPr>
                    <w:spacing w:line="0" w:lineRule="atLeast"/>
                    <w:ind w:firstLine="0" w:firstLineChars="0"/>
                    <w:jc w:val="center"/>
                    <w:rPr>
                      <w:rFonts w:eastAsia="宋体" w:cs="Times New Roman"/>
                      <w:sz w:val="21"/>
                      <w:szCs w:val="21"/>
                    </w:rPr>
                  </w:pPr>
                  <w:r>
                    <w:rPr>
                      <w:rFonts w:eastAsia="宋体" w:cs="Times New Roman"/>
                      <w:sz w:val="21"/>
                      <w:szCs w:val="21"/>
                    </w:rPr>
                    <w:t>氧气</w:t>
                  </w:r>
                </w:p>
              </w:tc>
              <w:tc>
                <w:tcPr>
                  <w:tcW w:w="1078" w:type="dxa"/>
                  <w:vAlign w:val="center"/>
                </w:tcPr>
                <w:p>
                  <w:pPr>
                    <w:adjustRightInd w:val="0"/>
                    <w:snapToGrid w:val="0"/>
                    <w:spacing w:line="0" w:lineRule="atLeast"/>
                    <w:ind w:firstLine="0" w:firstLineChars="0"/>
                    <w:jc w:val="center"/>
                    <w:rPr>
                      <w:rFonts w:eastAsia="宋体" w:cs="Times New Roman"/>
                      <w:sz w:val="21"/>
                      <w:szCs w:val="21"/>
                    </w:rPr>
                  </w:pPr>
                  <w:r>
                    <w:rPr>
                      <w:rFonts w:eastAsia="宋体" w:cs="Times New Roman"/>
                      <w:sz w:val="21"/>
                      <w:szCs w:val="21"/>
                    </w:rPr>
                    <w:t>/</w:t>
                  </w:r>
                </w:p>
              </w:tc>
              <w:tc>
                <w:tcPr>
                  <w:tcW w:w="1322" w:type="dxa"/>
                  <w:vAlign w:val="center"/>
                </w:tcPr>
                <w:p>
                  <w:pPr>
                    <w:pStyle w:val="182"/>
                    <w:adjustRightInd w:val="0"/>
                    <w:snapToGrid w:val="0"/>
                    <w:spacing w:line="0" w:lineRule="atLeast"/>
                    <w:ind w:firstLine="0" w:firstLineChars="0"/>
                    <w:rPr>
                      <w:rFonts w:hAnsi="Times New Roman" w:eastAsia="宋体" w:cs="Times New Roman"/>
                    </w:rPr>
                  </w:pPr>
                  <w:r>
                    <w:rPr>
                      <w:rFonts w:hAnsi="Times New Roman" w:eastAsia="宋体" w:cs="Times New Roman"/>
                    </w:rPr>
                    <w:t>0.0429</w:t>
                  </w:r>
                </w:p>
              </w:tc>
              <w:tc>
                <w:tcPr>
                  <w:tcW w:w="1964" w:type="dxa"/>
                  <w:vAlign w:val="center"/>
                </w:tcPr>
                <w:p>
                  <w:pPr>
                    <w:pStyle w:val="178"/>
                    <w:snapToGrid w:val="0"/>
                    <w:spacing w:line="0" w:lineRule="atLeast"/>
                  </w:pPr>
                  <w:r>
                    <w:t>瓶装（6m</w:t>
                  </w:r>
                  <w:r>
                    <w:rPr>
                      <w:vertAlign w:val="superscript"/>
                    </w:rPr>
                    <w:t>3</w:t>
                  </w:r>
                  <w:r>
                    <w:t>/瓶）</w:t>
                  </w:r>
                </w:p>
              </w:tc>
              <w:tc>
                <w:tcPr>
                  <w:tcW w:w="2023" w:type="dxa"/>
                  <w:tcBorders>
                    <w:right w:val="single" w:color="000000" w:sz="8" w:space="0"/>
                  </w:tcBorders>
                  <w:vAlign w:val="center"/>
                </w:tcPr>
                <w:p>
                  <w:pPr>
                    <w:adjustRightInd w:val="0"/>
                    <w:snapToGrid w:val="0"/>
                    <w:spacing w:line="0" w:lineRule="atLeast"/>
                    <w:ind w:firstLine="0" w:firstLineChars="0"/>
                    <w:jc w:val="center"/>
                    <w:rPr>
                      <w:rFonts w:eastAsia="宋体" w:cs="Times New Roman"/>
                      <w:sz w:val="21"/>
                      <w:szCs w:val="21"/>
                    </w:rPr>
                  </w:pPr>
                  <w:r>
                    <w:rPr>
                      <w:rFonts w:hint="eastAsia" w:eastAsia="宋体" w:cs="Times New Roman"/>
                      <w:sz w:val="21"/>
                      <w:szCs w:val="21"/>
                    </w:rPr>
                    <w:t>病患供养</w:t>
                  </w:r>
                </w:p>
              </w:tc>
            </w:tr>
          </w:tbl>
          <w:p>
            <w:pPr>
              <w:ind w:firstLine="480"/>
              <w:rPr>
                <w:rFonts w:eastAsia="宋体" w:cs="Times New Roman"/>
                <w:szCs w:val="24"/>
              </w:rPr>
            </w:pPr>
            <w:r>
              <w:rPr>
                <w:rFonts w:eastAsia="宋体" w:cs="Times New Roman"/>
                <w:szCs w:val="24"/>
              </w:rPr>
              <w:t>项目使用</w:t>
            </w:r>
            <w:r>
              <w:rPr>
                <w:rFonts w:hint="eastAsia" w:eastAsia="宋体" w:cs="Times New Roman"/>
                <w:szCs w:val="24"/>
              </w:rPr>
              <w:t>的次氯酸钠</w:t>
            </w:r>
            <w:r>
              <w:rPr>
                <w:rFonts w:eastAsia="宋体" w:cs="Times New Roman"/>
                <w:szCs w:val="24"/>
              </w:rPr>
              <w:t>安全技术说明书详见表</w:t>
            </w:r>
            <w:r>
              <w:rPr>
                <w:rFonts w:hint="eastAsia" w:eastAsia="宋体" w:cs="Times New Roman"/>
                <w:szCs w:val="24"/>
              </w:rPr>
              <w:t>4-17</w:t>
            </w:r>
            <w:r>
              <w:rPr>
                <w:rFonts w:eastAsia="宋体" w:cs="Times New Roman"/>
                <w:szCs w:val="24"/>
              </w:rPr>
              <w:t>。</w:t>
            </w:r>
          </w:p>
          <w:p>
            <w:pPr>
              <w:ind w:firstLine="482"/>
              <w:jc w:val="center"/>
              <w:rPr>
                <w:rFonts w:eastAsia="宋体" w:cs="Times New Roman"/>
                <w:b/>
                <w:bCs/>
                <w:szCs w:val="24"/>
              </w:rPr>
            </w:pPr>
            <w:r>
              <w:rPr>
                <w:rFonts w:hint="eastAsia" w:eastAsia="宋体" w:cs="Times New Roman"/>
                <w:b/>
                <w:bCs/>
                <w:szCs w:val="24"/>
              </w:rPr>
              <w:t>表 4-17     次氯酸钠</w:t>
            </w:r>
            <w:r>
              <w:rPr>
                <w:rFonts w:eastAsia="宋体" w:cs="Times New Roman"/>
                <w:b/>
                <w:bCs/>
                <w:szCs w:val="24"/>
              </w:rPr>
              <w:t>安全技术说明书</w:t>
            </w:r>
          </w:p>
          <w:tbl>
            <w:tblPr>
              <w:tblStyle w:val="37"/>
              <w:tblW w:w="8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668"/>
              <w:gridCol w:w="2324"/>
              <w:gridCol w:w="147"/>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988" w:type="dxa"/>
                  <w:vMerge w:val="restart"/>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理化性质</w:t>
                  </w:r>
                </w:p>
              </w:tc>
              <w:tc>
                <w:tcPr>
                  <w:tcW w:w="4139" w:type="dxa"/>
                  <w:gridSpan w:val="3"/>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外观与形状：微黄色液体，有似氯气的气味</w:t>
                  </w:r>
                </w:p>
              </w:tc>
              <w:tc>
                <w:tcPr>
                  <w:tcW w:w="3435" w:type="dxa"/>
                  <w:tcBorders>
                    <w:right w:val="single" w:color="000000" w:sz="8" w:space="0"/>
                  </w:tcBorders>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引燃温度（℃）：无资料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88" w:type="dxa"/>
                  <w:vMerge w:val="continue"/>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p>
              </w:tc>
              <w:tc>
                <w:tcPr>
                  <w:tcW w:w="4139" w:type="dxa"/>
                  <w:gridSpan w:val="3"/>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熔点（℃）：-6</w:t>
                  </w:r>
                </w:p>
              </w:tc>
              <w:tc>
                <w:tcPr>
                  <w:tcW w:w="3435" w:type="dxa"/>
                  <w:tcBorders>
                    <w:right w:val="single" w:color="000000" w:sz="8" w:space="0"/>
                  </w:tcBorders>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溶解性：溶于水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88" w:type="dxa"/>
                  <w:vMerge w:val="continue"/>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p>
              </w:tc>
              <w:tc>
                <w:tcPr>
                  <w:tcW w:w="4139" w:type="dxa"/>
                  <w:gridSpan w:val="3"/>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沸点（℃）：102.2</w:t>
                  </w:r>
                </w:p>
              </w:tc>
              <w:tc>
                <w:tcPr>
                  <w:tcW w:w="3435" w:type="dxa"/>
                  <w:tcBorders>
                    <w:right w:val="single" w:color="000000" w:sz="8" w:space="0"/>
                  </w:tcBorders>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相对密度（水=1）：1.10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88" w:type="dxa"/>
                  <w:vMerge w:val="continue"/>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p>
              </w:tc>
              <w:tc>
                <w:tcPr>
                  <w:tcW w:w="4139" w:type="dxa"/>
                  <w:gridSpan w:val="3"/>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饱和蒸气压（KPa，20℃）：30.66（21℃）</w:t>
                  </w:r>
                </w:p>
              </w:tc>
              <w:tc>
                <w:tcPr>
                  <w:tcW w:w="3435" w:type="dxa"/>
                  <w:tcBorders>
                    <w:right w:val="single" w:color="000000" w:sz="8" w:space="0"/>
                  </w:tcBorders>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相对蒸汽密度（水=1）：无资料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88" w:type="dxa"/>
                  <w:vMerge w:val="continue"/>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p>
              </w:tc>
              <w:tc>
                <w:tcPr>
                  <w:tcW w:w="4139" w:type="dxa"/>
                  <w:gridSpan w:val="3"/>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临界温度（℃）：无资料</w:t>
                  </w:r>
                </w:p>
              </w:tc>
              <w:tc>
                <w:tcPr>
                  <w:tcW w:w="3435" w:type="dxa"/>
                  <w:tcBorders>
                    <w:right w:val="single" w:color="000000" w:sz="8" w:space="0"/>
                  </w:tcBorders>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燃烧热（kJ/kg）：无意义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88" w:type="dxa"/>
                  <w:vMerge w:val="continue"/>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p>
              </w:tc>
              <w:tc>
                <w:tcPr>
                  <w:tcW w:w="4139" w:type="dxa"/>
                  <w:gridSpan w:val="3"/>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临界压力（MPa）：无资料</w:t>
                  </w:r>
                </w:p>
              </w:tc>
              <w:tc>
                <w:tcPr>
                  <w:tcW w:w="3435" w:type="dxa"/>
                  <w:tcBorders>
                    <w:right w:val="single" w:color="000000" w:sz="8" w:space="0"/>
                  </w:tcBorders>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危险性类别：第8.3类，其他腐蚀品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88" w:type="dxa"/>
                  <w:vMerge w:val="continue"/>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p>
              </w:tc>
              <w:tc>
                <w:tcPr>
                  <w:tcW w:w="4139" w:type="dxa"/>
                  <w:gridSpan w:val="3"/>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爆炸上限［%（V/V）］：无意义</w:t>
                  </w:r>
                </w:p>
              </w:tc>
              <w:tc>
                <w:tcPr>
                  <w:tcW w:w="3435" w:type="dxa"/>
                  <w:tcBorders>
                    <w:right w:val="single" w:color="000000" w:sz="8" w:space="0"/>
                  </w:tcBorders>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爆炸下限［%（V/V）］：无意义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88" w:type="dxa"/>
                  <w:vMerge w:val="restart"/>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稳定性和反应活性</w:t>
                  </w:r>
                </w:p>
              </w:tc>
              <w:tc>
                <w:tcPr>
                  <w:tcW w:w="4139" w:type="dxa"/>
                  <w:gridSpan w:val="3"/>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稳定性：不稳定</w:t>
                  </w:r>
                </w:p>
              </w:tc>
              <w:tc>
                <w:tcPr>
                  <w:tcW w:w="3435" w:type="dxa"/>
                  <w:tcBorders>
                    <w:right w:val="single" w:color="000000" w:sz="8" w:space="0"/>
                  </w:tcBorders>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 xml:space="preserve">禁配物：碱类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88" w:type="dxa"/>
                  <w:vMerge w:val="continue"/>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p>
              </w:tc>
              <w:tc>
                <w:tcPr>
                  <w:tcW w:w="4139" w:type="dxa"/>
                  <w:gridSpan w:val="3"/>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避免接触的条件：避免与碱类接触</w:t>
                  </w:r>
                </w:p>
              </w:tc>
              <w:tc>
                <w:tcPr>
                  <w:tcW w:w="3435" w:type="dxa"/>
                  <w:tcBorders>
                    <w:right w:val="single" w:color="000000" w:sz="8" w:space="0"/>
                  </w:tcBorders>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聚合危害：不聚合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88" w:type="dxa"/>
                  <w:vMerge w:val="continue"/>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p>
              </w:tc>
              <w:tc>
                <w:tcPr>
                  <w:tcW w:w="4139" w:type="dxa"/>
                  <w:gridSpan w:val="3"/>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分解产物：氯化氢</w:t>
                  </w:r>
                </w:p>
              </w:tc>
              <w:tc>
                <w:tcPr>
                  <w:tcW w:w="3435" w:type="dxa"/>
                  <w:tcBorders>
                    <w:right w:val="single" w:color="000000" w:sz="8" w:space="0"/>
                  </w:tcBorders>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88" w:type="dxa"/>
                  <w:vMerge w:val="restart"/>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危险性概述</w:t>
                  </w:r>
                </w:p>
              </w:tc>
              <w:tc>
                <w:tcPr>
                  <w:tcW w:w="1668" w:type="dxa"/>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危险性类别</w:t>
                  </w:r>
                </w:p>
              </w:tc>
              <w:tc>
                <w:tcPr>
                  <w:tcW w:w="5906" w:type="dxa"/>
                  <w:gridSpan w:val="3"/>
                  <w:tcBorders>
                    <w:right w:val="single" w:color="000000" w:sz="8" w:space="0"/>
                  </w:tcBorders>
                  <w:vAlign w:val="center"/>
                </w:tcPr>
                <w:p>
                  <w:pPr>
                    <w:pStyle w:val="31"/>
                    <w:spacing w:before="0" w:beforeAutospacing="0" w:after="0" w:afterAutospacing="0" w:line="0" w:lineRule="atLeast"/>
                    <w:ind w:firstLine="0" w:firstLineChars="0"/>
                    <w:jc w:val="both"/>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皮肤腐蚀/刺激，类别1B；严重眼损伤/眼刺激，类别1；危害水生环境—急性危害，类别1；危害水生环境—长期危害，类别1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88" w:type="dxa"/>
                  <w:vMerge w:val="continue"/>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p>
              </w:tc>
              <w:tc>
                <w:tcPr>
                  <w:tcW w:w="1668" w:type="dxa"/>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侵入途径</w:t>
                  </w:r>
                </w:p>
              </w:tc>
              <w:tc>
                <w:tcPr>
                  <w:tcW w:w="5906" w:type="dxa"/>
                  <w:gridSpan w:val="3"/>
                  <w:tcBorders>
                    <w:right w:val="single" w:color="000000" w:sz="8" w:space="0"/>
                  </w:tcBorders>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吸入、食入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88" w:type="dxa"/>
                  <w:vMerge w:val="continue"/>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p>
              </w:tc>
              <w:tc>
                <w:tcPr>
                  <w:tcW w:w="1668" w:type="dxa"/>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健康危害</w:t>
                  </w:r>
                </w:p>
              </w:tc>
              <w:tc>
                <w:tcPr>
                  <w:tcW w:w="5906" w:type="dxa"/>
                  <w:gridSpan w:val="3"/>
                  <w:tcBorders>
                    <w:right w:val="single" w:color="000000" w:sz="8" w:space="0"/>
                  </w:tcBorders>
                  <w:vAlign w:val="center"/>
                </w:tcPr>
                <w:p>
                  <w:pPr>
                    <w:pStyle w:val="31"/>
                    <w:spacing w:before="0" w:beforeAutospacing="0" w:after="0" w:afterAutospacing="0" w:line="0" w:lineRule="atLeast"/>
                    <w:ind w:firstLine="0" w:firstLineChars="0"/>
                    <w:jc w:val="both"/>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经常用手接触本品的工人，手掌大量出汗，指甲变薄，毛发脱落。本品有致敏作用。本品放出的游离氯有可能引起中毒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88" w:type="dxa"/>
                  <w:vMerge w:val="continue"/>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p>
              </w:tc>
              <w:tc>
                <w:tcPr>
                  <w:tcW w:w="1668" w:type="dxa"/>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环境危害</w:t>
                  </w:r>
                </w:p>
              </w:tc>
              <w:tc>
                <w:tcPr>
                  <w:tcW w:w="5906" w:type="dxa"/>
                  <w:gridSpan w:val="3"/>
                  <w:tcBorders>
                    <w:right w:val="single" w:color="000000" w:sz="8" w:space="0"/>
                  </w:tcBorders>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对水可造成污染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88" w:type="dxa"/>
                  <w:vMerge w:val="continue"/>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p>
              </w:tc>
              <w:tc>
                <w:tcPr>
                  <w:tcW w:w="1668" w:type="dxa"/>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燃爆危害</w:t>
                  </w:r>
                </w:p>
              </w:tc>
              <w:tc>
                <w:tcPr>
                  <w:tcW w:w="5906" w:type="dxa"/>
                  <w:gridSpan w:val="3"/>
                  <w:tcBorders>
                    <w:right w:val="single" w:color="000000" w:sz="8" w:space="0"/>
                  </w:tcBorders>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本品不燃，具腐蚀性，可致人体灼伤，具致敏性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88" w:type="dxa"/>
                  <w:vMerge w:val="restart"/>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急救措施</w:t>
                  </w:r>
                </w:p>
              </w:tc>
              <w:tc>
                <w:tcPr>
                  <w:tcW w:w="1668" w:type="dxa"/>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皮肤接触</w:t>
                  </w:r>
                </w:p>
              </w:tc>
              <w:tc>
                <w:tcPr>
                  <w:tcW w:w="5906" w:type="dxa"/>
                  <w:gridSpan w:val="3"/>
                  <w:tcBorders>
                    <w:right w:val="single" w:color="000000" w:sz="8" w:space="0"/>
                  </w:tcBorders>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脱去污染的衣着，用大量流动清水冲洗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88" w:type="dxa"/>
                  <w:vMerge w:val="continue"/>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p>
              </w:tc>
              <w:tc>
                <w:tcPr>
                  <w:tcW w:w="1668" w:type="dxa"/>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眼睛接触</w:t>
                  </w:r>
                </w:p>
              </w:tc>
              <w:tc>
                <w:tcPr>
                  <w:tcW w:w="5906" w:type="dxa"/>
                  <w:gridSpan w:val="3"/>
                  <w:tcBorders>
                    <w:right w:val="single" w:color="000000" w:sz="8" w:space="0"/>
                  </w:tcBorders>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提起眼睑，用流动清水或生理盐水冲洗。就医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88" w:type="dxa"/>
                  <w:vMerge w:val="continue"/>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p>
              </w:tc>
              <w:tc>
                <w:tcPr>
                  <w:tcW w:w="1668" w:type="dxa"/>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吸入</w:t>
                  </w:r>
                </w:p>
              </w:tc>
              <w:tc>
                <w:tcPr>
                  <w:tcW w:w="5906" w:type="dxa"/>
                  <w:gridSpan w:val="3"/>
                  <w:tcBorders>
                    <w:right w:val="single" w:color="000000" w:sz="8" w:space="0"/>
                  </w:tcBorders>
                  <w:vAlign w:val="center"/>
                </w:tcPr>
                <w:p>
                  <w:pPr>
                    <w:pStyle w:val="31"/>
                    <w:spacing w:before="0" w:beforeAutospacing="0" w:after="0" w:afterAutospacing="0" w:line="0" w:lineRule="atLeast"/>
                    <w:ind w:firstLine="0" w:firstLineChars="0"/>
                    <w:jc w:val="both"/>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迅速脱离现场至空气新鲜处，保持呼吸道畅通，如呼吸困难，给输氧。如呼吸停止，立即进行人工呼吸，就医。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88" w:type="dxa"/>
                  <w:vMerge w:val="continue"/>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p>
              </w:tc>
              <w:tc>
                <w:tcPr>
                  <w:tcW w:w="1668" w:type="dxa"/>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食入</w:t>
                  </w:r>
                </w:p>
              </w:tc>
              <w:tc>
                <w:tcPr>
                  <w:tcW w:w="5906" w:type="dxa"/>
                  <w:gridSpan w:val="3"/>
                  <w:tcBorders>
                    <w:right w:val="single" w:color="000000" w:sz="8" w:space="0"/>
                  </w:tcBorders>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饮足量温水，催吐，就医。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88" w:type="dxa"/>
                  <w:vMerge w:val="restart"/>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消防措施</w:t>
                  </w:r>
                </w:p>
              </w:tc>
              <w:tc>
                <w:tcPr>
                  <w:tcW w:w="1668" w:type="dxa"/>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危险特性</w:t>
                  </w:r>
                </w:p>
              </w:tc>
              <w:tc>
                <w:tcPr>
                  <w:tcW w:w="5906" w:type="dxa"/>
                  <w:gridSpan w:val="3"/>
                  <w:tcBorders>
                    <w:right w:val="single" w:color="000000" w:sz="8" w:space="0"/>
                  </w:tcBorders>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受高热分解产生有毒的腐蚀性烟气，具有腐蚀性。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88" w:type="dxa"/>
                  <w:vMerge w:val="continue"/>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p>
              </w:tc>
              <w:tc>
                <w:tcPr>
                  <w:tcW w:w="1668" w:type="dxa"/>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有害燃烧产物</w:t>
                  </w:r>
                </w:p>
              </w:tc>
              <w:tc>
                <w:tcPr>
                  <w:tcW w:w="5906" w:type="dxa"/>
                  <w:gridSpan w:val="3"/>
                  <w:tcBorders>
                    <w:right w:val="single" w:color="000000" w:sz="8" w:space="0"/>
                  </w:tcBorders>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氯化物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88" w:type="dxa"/>
                  <w:vMerge w:val="continue"/>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p>
              </w:tc>
              <w:tc>
                <w:tcPr>
                  <w:tcW w:w="1668" w:type="dxa"/>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灭火方法</w:t>
                  </w:r>
                </w:p>
              </w:tc>
              <w:tc>
                <w:tcPr>
                  <w:tcW w:w="5906" w:type="dxa"/>
                  <w:gridSpan w:val="3"/>
                  <w:tcBorders>
                    <w:right w:val="single" w:color="000000" w:sz="8" w:space="0"/>
                  </w:tcBorders>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采用雾状水、二氧化碳、砂土灭火。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988" w:type="dxa"/>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泄漏应急处理</w:t>
                  </w:r>
                </w:p>
              </w:tc>
              <w:tc>
                <w:tcPr>
                  <w:tcW w:w="1668" w:type="dxa"/>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应急处理</w:t>
                  </w:r>
                </w:p>
              </w:tc>
              <w:tc>
                <w:tcPr>
                  <w:tcW w:w="5906" w:type="dxa"/>
                  <w:gridSpan w:val="3"/>
                  <w:tcBorders>
                    <w:right w:val="single" w:color="000000" w:sz="8" w:space="0"/>
                  </w:tcBorders>
                  <w:vAlign w:val="center"/>
                </w:tcPr>
                <w:p>
                  <w:pPr>
                    <w:pStyle w:val="31"/>
                    <w:spacing w:before="0" w:beforeAutospacing="0" w:after="0" w:afterAutospacing="0" w:line="0" w:lineRule="atLeast"/>
                    <w:ind w:firstLine="0" w:firstLineChars="0"/>
                    <w:jc w:val="both"/>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迅速撤离泄漏污染区人员至安全区，并进行隔离，严格限制出入；建议应急处理人员戴自给正压式呼吸器，穿防酸碱工作服；不要直接接触泄漏物；尽可能切断泄漏源。小量泄漏：用沙土、蛭石或其他惰性材料吸收。大量泄漏：构筑围堤或挖坑收容，用泡沫覆盖，降低蒸汽灾害，用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88" w:type="dxa"/>
                  <w:vMerge w:val="restart"/>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操作处置与储存</w:t>
                  </w:r>
                </w:p>
              </w:tc>
              <w:tc>
                <w:tcPr>
                  <w:tcW w:w="1668" w:type="dxa"/>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操作注意事项</w:t>
                  </w:r>
                </w:p>
              </w:tc>
              <w:tc>
                <w:tcPr>
                  <w:tcW w:w="5906" w:type="dxa"/>
                  <w:gridSpan w:val="3"/>
                  <w:tcBorders>
                    <w:right w:val="single" w:color="000000" w:sz="8" w:space="0"/>
                  </w:tcBorders>
                  <w:vAlign w:val="center"/>
                </w:tcPr>
                <w:p>
                  <w:pPr>
                    <w:pStyle w:val="31"/>
                    <w:spacing w:before="0" w:beforeAutospacing="0" w:after="0" w:afterAutospacing="0" w:line="0" w:lineRule="atLeast"/>
                    <w:ind w:firstLine="0" w:firstLineChars="0"/>
                    <w:jc w:val="both"/>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密闭操作，全面通风，操作人员必须经过专门培训，严格遵守操作规程，建议操作人员佩戴直接式防毒面具（半面罩），戴化学安全防护眼镜，穿防腐工作服，戴橡胶手套；防止蒸汽泄漏到工作场所空气中；避免遇碱类接触；搬运时要轻装轻卸，防止包装及容器损坏。配备泄漏应急处理设备，倒空的容器可能残留有害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88" w:type="dxa"/>
                  <w:vMerge w:val="continue"/>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p>
              </w:tc>
              <w:tc>
                <w:tcPr>
                  <w:tcW w:w="1668" w:type="dxa"/>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储存注意事项</w:t>
                  </w:r>
                </w:p>
              </w:tc>
              <w:tc>
                <w:tcPr>
                  <w:tcW w:w="5906" w:type="dxa"/>
                  <w:gridSpan w:val="3"/>
                  <w:tcBorders>
                    <w:right w:val="single" w:color="000000" w:sz="8" w:space="0"/>
                  </w:tcBorders>
                  <w:vAlign w:val="center"/>
                </w:tcPr>
                <w:p>
                  <w:pPr>
                    <w:pStyle w:val="31"/>
                    <w:spacing w:before="0" w:beforeAutospacing="0" w:after="0" w:afterAutospacing="0" w:line="0" w:lineRule="atLeast"/>
                    <w:ind w:firstLine="0" w:firstLineChars="0"/>
                    <w:jc w:val="both"/>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储存于阴凉、通风的库房；远离火种、热源；库温不宜超过30℃，应与碱类分开存放，切忌混储；储区应备有泄漏应急处理设备和合适的收容材料。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88" w:type="dxa"/>
                  <w:vMerge w:val="restart"/>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毒理学资料</w:t>
                  </w:r>
                </w:p>
              </w:tc>
              <w:tc>
                <w:tcPr>
                  <w:tcW w:w="3992" w:type="dxa"/>
                  <w:gridSpan w:val="2"/>
                  <w:vAlign w:val="center"/>
                </w:tcPr>
                <w:p>
                  <w:pPr>
                    <w:pStyle w:val="31"/>
                    <w:spacing w:before="0" w:beforeAutospacing="0" w:after="0" w:afterAutospacing="0" w:line="0" w:lineRule="atLeast"/>
                    <w:ind w:firstLine="0" w:firstLineChars="0"/>
                    <w:jc w:val="both"/>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急性毒性：LD50：8500mg/kg（小鼠经口）；LC50：无资料。</w:t>
                  </w:r>
                </w:p>
              </w:tc>
              <w:tc>
                <w:tcPr>
                  <w:tcW w:w="3582" w:type="dxa"/>
                  <w:gridSpan w:val="2"/>
                  <w:tcBorders>
                    <w:right w:val="single" w:color="000000" w:sz="8" w:space="0"/>
                  </w:tcBorders>
                  <w:vAlign w:val="center"/>
                </w:tcPr>
                <w:p>
                  <w:pPr>
                    <w:pStyle w:val="31"/>
                    <w:spacing w:before="0" w:beforeAutospacing="0" w:after="0" w:afterAutospacing="0" w:line="0" w:lineRule="atLeast"/>
                    <w:ind w:firstLine="0" w:firstLineChars="0"/>
                    <w:jc w:val="both"/>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皮肤刺激或腐蚀：皮肤刺激或腐蚀：EC50:5.3 mg/L（50%溶液，兔经皮）。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88" w:type="dxa"/>
                  <w:vMerge w:val="continue"/>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p>
              </w:tc>
              <w:tc>
                <w:tcPr>
                  <w:tcW w:w="3992" w:type="dxa"/>
                  <w:gridSpan w:val="2"/>
                  <w:vAlign w:val="center"/>
                </w:tcPr>
                <w:p>
                  <w:pPr>
                    <w:pStyle w:val="31"/>
                    <w:spacing w:before="0" w:beforeAutospacing="0" w:after="0" w:afterAutospacing="0" w:line="0" w:lineRule="atLeast"/>
                    <w:ind w:firstLine="0" w:firstLineChars="0"/>
                    <w:jc w:val="both"/>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眼睛刺激或腐蚀：兔试验：0.05mL滴入眼睛，闭上眼睑30s，72h后有严重的眼睑红肿、结膜充血。</w:t>
                  </w:r>
                </w:p>
              </w:tc>
              <w:tc>
                <w:tcPr>
                  <w:tcW w:w="3582" w:type="dxa"/>
                  <w:gridSpan w:val="2"/>
                  <w:tcBorders>
                    <w:right w:val="single" w:color="000000" w:sz="8" w:space="0"/>
                  </w:tcBorders>
                  <w:vAlign w:val="center"/>
                </w:tcPr>
                <w:p>
                  <w:pPr>
                    <w:pStyle w:val="31"/>
                    <w:spacing w:before="0" w:beforeAutospacing="0" w:after="0" w:afterAutospacing="0" w:line="0" w:lineRule="atLeast"/>
                    <w:ind w:firstLine="0" w:firstLineChars="0"/>
                    <w:jc w:val="both"/>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呼吸或皮肤过敏：无资料。</w:t>
                  </w:r>
                </w:p>
                <w:p>
                  <w:pPr>
                    <w:pStyle w:val="31"/>
                    <w:spacing w:before="0" w:beforeAutospacing="0" w:after="0" w:afterAutospacing="0" w:line="0" w:lineRule="atLeast"/>
                    <w:ind w:firstLine="0" w:firstLineChars="0"/>
                    <w:jc w:val="both"/>
                    <w:rPr>
                      <w:rFonts w:ascii="Times New Roman" w:hAnsi="Times New Roman" w:eastAsia="宋体" w:cs="Times New Roman"/>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8" w:type="dxa"/>
                  <w:vMerge w:val="continue"/>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p>
              </w:tc>
              <w:tc>
                <w:tcPr>
                  <w:tcW w:w="3992" w:type="dxa"/>
                  <w:gridSpan w:val="2"/>
                  <w:vAlign w:val="center"/>
                </w:tcPr>
                <w:p>
                  <w:pPr>
                    <w:pStyle w:val="31"/>
                    <w:spacing w:before="0" w:beforeAutospacing="0" w:after="0" w:afterAutospacing="0" w:line="0" w:lineRule="atLeast"/>
                    <w:ind w:firstLine="0" w:firstLineChars="0"/>
                    <w:jc w:val="both"/>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吸入危害：有上呼吸道刺激症状。</w:t>
                  </w:r>
                </w:p>
              </w:tc>
              <w:tc>
                <w:tcPr>
                  <w:tcW w:w="3582" w:type="dxa"/>
                  <w:gridSpan w:val="2"/>
                  <w:tcBorders>
                    <w:right w:val="single" w:color="000000" w:sz="8" w:space="0"/>
                  </w:tcBorders>
                  <w:vAlign w:val="center"/>
                </w:tcPr>
                <w:p>
                  <w:pPr>
                    <w:pStyle w:val="31"/>
                    <w:spacing w:before="0" w:beforeAutospacing="0" w:after="0" w:afterAutospacing="0" w:line="0" w:lineRule="atLeast"/>
                    <w:ind w:firstLine="0" w:firstLineChars="0"/>
                    <w:jc w:val="center"/>
                    <w:rPr>
                      <w:rFonts w:ascii="Times New Roman" w:hAnsi="Times New Roman" w:eastAsia="宋体" w:cs="Times New Roman"/>
                      <w:sz w:val="21"/>
                      <w:szCs w:val="21"/>
                      <w:shd w:val="clear" w:color="auto" w:fill="FFFFFF"/>
                    </w:rPr>
                  </w:pPr>
                </w:p>
              </w:tc>
            </w:tr>
          </w:tbl>
          <w:p>
            <w:pPr>
              <w:adjustRightInd w:val="0"/>
              <w:snapToGrid w:val="0"/>
              <w:ind w:firstLine="482"/>
              <w:rPr>
                <w:rFonts w:eastAsia="宋体" w:cs="Times New Roman"/>
                <w:b/>
                <w:bCs/>
                <w:szCs w:val="24"/>
              </w:rPr>
            </w:pPr>
            <w:r>
              <w:rPr>
                <w:rFonts w:hint="eastAsia" w:eastAsia="宋体" w:cs="Times New Roman"/>
                <w:b/>
                <w:bCs/>
                <w:szCs w:val="24"/>
              </w:rPr>
              <w:t>2、</w:t>
            </w:r>
            <w:r>
              <w:rPr>
                <w:rFonts w:eastAsia="宋体" w:cs="Times New Roman"/>
                <w:b/>
                <w:bCs/>
                <w:szCs w:val="24"/>
              </w:rPr>
              <w:t>环境风险潜势初判</w:t>
            </w:r>
          </w:p>
          <w:p>
            <w:pPr>
              <w:adjustRightInd w:val="0"/>
              <w:snapToGrid w:val="0"/>
              <w:ind w:firstLine="482"/>
              <w:rPr>
                <w:rFonts w:eastAsia="宋体" w:cs="Times New Roman"/>
                <w:b/>
                <w:szCs w:val="24"/>
              </w:rPr>
            </w:pPr>
            <w:r>
              <w:rPr>
                <w:rFonts w:hint="eastAsia" w:eastAsia="宋体" w:cs="Times New Roman"/>
                <w:b/>
                <w:szCs w:val="24"/>
              </w:rPr>
              <w:t>（</w:t>
            </w:r>
            <w:r>
              <w:rPr>
                <w:rFonts w:eastAsia="宋体" w:cs="Times New Roman"/>
                <w:b/>
                <w:szCs w:val="24"/>
              </w:rPr>
              <w:t>1）环境风险潜势划分</w:t>
            </w:r>
          </w:p>
          <w:p>
            <w:pPr>
              <w:pStyle w:val="34"/>
              <w:widowControl/>
              <w:spacing w:after="0"/>
              <w:ind w:firstLine="480" w:firstLineChars="200"/>
              <w:rPr>
                <w:rFonts w:eastAsia="宋体" w:cs="Times New Roman"/>
              </w:rPr>
            </w:pPr>
            <w:r>
              <w:rPr>
                <w:rFonts w:eastAsia="宋体" w:cs="Times New Roman"/>
                <w:szCs w:val="21"/>
              </w:rPr>
              <w:t>根据《建设项目环境风险评价技术导则》（HJ169-2018），</w:t>
            </w:r>
            <w:r>
              <w:rPr>
                <w:rFonts w:eastAsia="宋体" w:cs="Times New Roman"/>
              </w:rPr>
              <w:t>建设项目潜势划分为</w:t>
            </w:r>
            <w:r>
              <w:rPr>
                <w:rFonts w:hint="eastAsia" w:eastAsia="宋体" w:cs="Times New Roman"/>
              </w:rPr>
              <w:t>I</w:t>
            </w:r>
            <w:r>
              <w:rPr>
                <w:rFonts w:eastAsia="宋体" w:cs="Times New Roman"/>
              </w:rPr>
              <w:t>、</w:t>
            </w:r>
            <w:r>
              <w:rPr>
                <w:rFonts w:hint="eastAsia" w:eastAsia="宋体" w:cs="Times New Roman"/>
              </w:rPr>
              <w:t>II</w:t>
            </w:r>
            <w:r>
              <w:rPr>
                <w:rFonts w:eastAsia="宋体" w:cs="Times New Roman"/>
              </w:rPr>
              <w:t>、</w:t>
            </w:r>
            <w:r>
              <w:rPr>
                <w:rFonts w:hint="eastAsia" w:eastAsia="宋体" w:cs="Times New Roman"/>
              </w:rPr>
              <w:t>III</w:t>
            </w:r>
            <w:r>
              <w:rPr>
                <w:rFonts w:eastAsia="宋体" w:cs="Times New Roman"/>
              </w:rPr>
              <w:t>、</w:t>
            </w:r>
            <w:r>
              <w:rPr>
                <w:rFonts w:hint="eastAsia" w:eastAsia="宋体" w:cs="Times New Roman"/>
              </w:rPr>
              <w:t>IV</w:t>
            </w:r>
            <w:r>
              <w:rPr>
                <w:rFonts w:eastAsia="宋体" w:cs="Times New Roman"/>
              </w:rPr>
              <w:t>/</w:t>
            </w:r>
            <w:r>
              <w:rPr>
                <w:rFonts w:hint="eastAsia" w:eastAsia="宋体" w:cs="Times New Roman"/>
              </w:rPr>
              <w:t>IV</w:t>
            </w:r>
            <w:r>
              <w:rPr>
                <w:rFonts w:eastAsia="宋体" w:cs="Times New Roman"/>
                <w:vertAlign w:val="superscript"/>
              </w:rPr>
              <w:t>+</w:t>
            </w:r>
            <w:r>
              <w:rPr>
                <w:rFonts w:eastAsia="宋体" w:cs="Times New Roman"/>
              </w:rPr>
              <w:t>级。</w:t>
            </w:r>
          </w:p>
          <w:p>
            <w:pPr>
              <w:pStyle w:val="34"/>
              <w:widowControl/>
              <w:spacing w:after="0"/>
              <w:ind w:firstLine="480" w:firstLineChars="200"/>
              <w:rPr>
                <w:rFonts w:eastAsia="宋体" w:cs="Times New Roman"/>
              </w:rPr>
            </w:pPr>
            <w:r>
              <w:rPr>
                <w:rFonts w:eastAsia="宋体" w:cs="Times New Roman"/>
              </w:rPr>
              <w:t>根据建设项目涉及的物质和工艺系统的危险性及其所在地的环境敏感程度，结合事故情形下环境影响途径，对建设项目潜在环境危害程度进行概化分析，按照下表确定环境风险潜势。</w:t>
            </w:r>
          </w:p>
          <w:p>
            <w:pPr>
              <w:pStyle w:val="34"/>
              <w:widowControl/>
              <w:spacing w:after="0"/>
              <w:ind w:firstLine="480" w:firstLineChars="200"/>
              <w:jc w:val="center"/>
              <w:rPr>
                <w:rFonts w:eastAsia="宋体" w:cs="Times New Roman"/>
                <w:b/>
                <w:bCs/>
              </w:rPr>
            </w:pPr>
          </w:p>
          <w:p>
            <w:pPr>
              <w:pStyle w:val="34"/>
              <w:widowControl/>
              <w:spacing w:after="0"/>
              <w:ind w:firstLine="480" w:firstLineChars="200"/>
              <w:jc w:val="center"/>
              <w:rPr>
                <w:rFonts w:eastAsia="宋体" w:cs="Times New Roman"/>
                <w:b/>
                <w:bCs/>
              </w:rPr>
            </w:pPr>
          </w:p>
          <w:p>
            <w:pPr>
              <w:pStyle w:val="34"/>
              <w:widowControl/>
              <w:spacing w:after="0"/>
              <w:ind w:firstLine="480" w:firstLineChars="200"/>
              <w:jc w:val="center"/>
              <w:rPr>
                <w:rFonts w:eastAsia="宋体" w:cs="Times New Roman"/>
                <w:b/>
                <w:bCs/>
              </w:rPr>
            </w:pPr>
          </w:p>
          <w:p>
            <w:pPr>
              <w:pStyle w:val="34"/>
              <w:widowControl/>
              <w:spacing w:after="0"/>
              <w:ind w:firstLine="480" w:firstLineChars="200"/>
              <w:jc w:val="center"/>
              <w:rPr>
                <w:rFonts w:eastAsia="宋体" w:cs="Times New Roman"/>
                <w:b/>
                <w:bCs/>
              </w:rPr>
            </w:pPr>
          </w:p>
          <w:p>
            <w:pPr>
              <w:pStyle w:val="34"/>
              <w:widowControl/>
              <w:spacing w:after="0"/>
              <w:ind w:firstLine="480" w:firstLineChars="200"/>
              <w:jc w:val="center"/>
              <w:rPr>
                <w:rFonts w:eastAsia="宋体" w:cs="Times New Roman"/>
                <w:b/>
                <w:bCs/>
              </w:rPr>
            </w:pPr>
            <w:r>
              <w:rPr>
                <w:rFonts w:eastAsia="宋体" w:cs="Times New Roman"/>
                <w:b/>
                <w:bCs/>
              </w:rPr>
              <w:t>表</w:t>
            </w:r>
            <w:r>
              <w:rPr>
                <w:rFonts w:hint="eastAsia" w:cs="Times New Roman"/>
                <w:b/>
                <w:bCs/>
              </w:rPr>
              <w:t>4-18</w:t>
            </w:r>
            <w:r>
              <w:rPr>
                <w:rFonts w:eastAsia="宋体" w:cs="Times New Roman"/>
                <w:b/>
                <w:bCs/>
              </w:rPr>
              <w:t xml:space="preserve">  建设项目环境风险潜势划分</w:t>
            </w:r>
          </w:p>
          <w:tbl>
            <w:tblPr>
              <w:tblStyle w:val="37"/>
              <w:tblW w:w="8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1538"/>
              <w:gridCol w:w="1575"/>
              <w:gridCol w:w="1525"/>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2274" w:type="dxa"/>
                  <w:vMerge w:val="restart"/>
                  <w:vAlign w:val="center"/>
                </w:tcPr>
                <w:p>
                  <w:pPr>
                    <w:pStyle w:val="34"/>
                    <w:widowControl/>
                    <w:spacing w:after="0" w:line="0" w:lineRule="atLeast"/>
                    <w:ind w:firstLine="0" w:firstLineChars="0"/>
                    <w:jc w:val="center"/>
                    <w:rPr>
                      <w:rFonts w:eastAsia="宋体" w:cs="Times New Roman"/>
                      <w:sz w:val="21"/>
                      <w:szCs w:val="21"/>
                    </w:rPr>
                  </w:pPr>
                  <w:r>
                    <w:rPr>
                      <w:rFonts w:eastAsia="宋体" w:cs="Times New Roman"/>
                      <w:sz w:val="21"/>
                      <w:szCs w:val="21"/>
                    </w:rPr>
                    <w:t>环境敏感程度（E）</w:t>
                  </w:r>
                </w:p>
              </w:tc>
              <w:tc>
                <w:tcPr>
                  <w:tcW w:w="6149" w:type="dxa"/>
                  <w:gridSpan w:val="4"/>
                  <w:tcBorders>
                    <w:right w:val="single" w:color="000000" w:sz="8" w:space="0"/>
                  </w:tcBorders>
                  <w:vAlign w:val="center"/>
                </w:tcPr>
                <w:p>
                  <w:pPr>
                    <w:pStyle w:val="34"/>
                    <w:widowControl/>
                    <w:spacing w:after="0" w:line="0" w:lineRule="atLeast"/>
                    <w:ind w:firstLine="0" w:firstLineChars="0"/>
                    <w:jc w:val="center"/>
                    <w:rPr>
                      <w:rFonts w:eastAsia="宋体" w:cs="Times New Roman"/>
                      <w:sz w:val="21"/>
                      <w:szCs w:val="21"/>
                    </w:rPr>
                  </w:pPr>
                  <w:r>
                    <w:rPr>
                      <w:rFonts w:eastAsia="宋体" w:cs="Times New Roman"/>
                      <w:sz w:val="21"/>
                      <w:szCs w:val="21"/>
                    </w:rPr>
                    <w:t>危险物质及工艺系统危险性等级判断（P）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4" w:type="dxa"/>
                  <w:vMerge w:val="continue"/>
                  <w:vAlign w:val="center"/>
                </w:tcPr>
                <w:p>
                  <w:pPr>
                    <w:pStyle w:val="34"/>
                    <w:widowControl/>
                    <w:spacing w:after="0" w:line="0" w:lineRule="atLeast"/>
                    <w:ind w:firstLine="0" w:firstLineChars="0"/>
                    <w:jc w:val="center"/>
                    <w:rPr>
                      <w:rFonts w:eastAsia="宋体" w:cs="Times New Roman"/>
                      <w:sz w:val="21"/>
                      <w:szCs w:val="21"/>
                    </w:rPr>
                  </w:pPr>
                </w:p>
              </w:tc>
              <w:tc>
                <w:tcPr>
                  <w:tcW w:w="1538" w:type="dxa"/>
                  <w:vAlign w:val="center"/>
                </w:tcPr>
                <w:p>
                  <w:pPr>
                    <w:pStyle w:val="34"/>
                    <w:widowControl/>
                    <w:spacing w:after="0" w:line="0" w:lineRule="atLeast"/>
                    <w:ind w:firstLine="0" w:firstLineChars="0"/>
                    <w:jc w:val="center"/>
                    <w:rPr>
                      <w:rFonts w:eastAsia="宋体" w:cs="Times New Roman"/>
                      <w:sz w:val="21"/>
                      <w:szCs w:val="21"/>
                    </w:rPr>
                  </w:pPr>
                  <w:r>
                    <w:rPr>
                      <w:rFonts w:eastAsia="宋体" w:cs="Times New Roman"/>
                      <w:sz w:val="21"/>
                      <w:szCs w:val="21"/>
                    </w:rPr>
                    <w:t>极高危害（P1）</w:t>
                  </w:r>
                </w:p>
              </w:tc>
              <w:tc>
                <w:tcPr>
                  <w:tcW w:w="1575" w:type="dxa"/>
                  <w:vAlign w:val="center"/>
                </w:tcPr>
                <w:p>
                  <w:pPr>
                    <w:pStyle w:val="34"/>
                    <w:widowControl/>
                    <w:spacing w:after="0" w:line="0" w:lineRule="atLeast"/>
                    <w:ind w:firstLine="0" w:firstLineChars="0"/>
                    <w:jc w:val="center"/>
                    <w:rPr>
                      <w:rFonts w:eastAsia="宋体" w:cs="Times New Roman"/>
                      <w:sz w:val="21"/>
                      <w:szCs w:val="21"/>
                    </w:rPr>
                  </w:pPr>
                  <w:r>
                    <w:rPr>
                      <w:rFonts w:eastAsia="宋体" w:cs="Times New Roman"/>
                      <w:sz w:val="21"/>
                      <w:szCs w:val="21"/>
                    </w:rPr>
                    <w:t>高度危害（P2）</w:t>
                  </w:r>
                </w:p>
              </w:tc>
              <w:tc>
                <w:tcPr>
                  <w:tcW w:w="1525" w:type="dxa"/>
                  <w:vAlign w:val="center"/>
                </w:tcPr>
                <w:p>
                  <w:pPr>
                    <w:pStyle w:val="34"/>
                    <w:widowControl/>
                    <w:spacing w:after="0" w:line="0" w:lineRule="atLeast"/>
                    <w:ind w:firstLine="0" w:firstLineChars="0"/>
                    <w:jc w:val="center"/>
                    <w:rPr>
                      <w:rFonts w:eastAsia="宋体" w:cs="Times New Roman"/>
                      <w:sz w:val="21"/>
                      <w:szCs w:val="21"/>
                    </w:rPr>
                  </w:pPr>
                  <w:r>
                    <w:rPr>
                      <w:rFonts w:eastAsia="宋体" w:cs="Times New Roman"/>
                      <w:sz w:val="21"/>
                      <w:szCs w:val="21"/>
                    </w:rPr>
                    <w:t>中度危害（P3）</w:t>
                  </w:r>
                </w:p>
              </w:tc>
              <w:tc>
                <w:tcPr>
                  <w:tcW w:w="1511" w:type="dxa"/>
                  <w:tcBorders>
                    <w:right w:val="single" w:color="000000" w:sz="8" w:space="0"/>
                  </w:tcBorders>
                  <w:vAlign w:val="center"/>
                </w:tcPr>
                <w:p>
                  <w:pPr>
                    <w:pStyle w:val="34"/>
                    <w:widowControl/>
                    <w:spacing w:after="0" w:line="0" w:lineRule="atLeast"/>
                    <w:ind w:firstLine="0" w:firstLineChars="0"/>
                    <w:jc w:val="center"/>
                    <w:rPr>
                      <w:rFonts w:eastAsia="宋体" w:cs="Times New Roman"/>
                      <w:sz w:val="21"/>
                      <w:szCs w:val="21"/>
                    </w:rPr>
                  </w:pPr>
                  <w:r>
                    <w:rPr>
                      <w:rFonts w:eastAsia="宋体" w:cs="Times New Roman"/>
                      <w:sz w:val="21"/>
                      <w:szCs w:val="21"/>
                    </w:rPr>
                    <w:t>轻度危害（P4）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274" w:type="dxa"/>
                  <w:vAlign w:val="center"/>
                </w:tcPr>
                <w:p>
                  <w:pPr>
                    <w:pStyle w:val="34"/>
                    <w:widowControl/>
                    <w:spacing w:after="0" w:line="0" w:lineRule="atLeast"/>
                    <w:ind w:firstLine="0" w:firstLineChars="0"/>
                    <w:jc w:val="center"/>
                    <w:rPr>
                      <w:rFonts w:eastAsia="宋体" w:cs="Times New Roman"/>
                      <w:sz w:val="21"/>
                      <w:szCs w:val="21"/>
                    </w:rPr>
                  </w:pPr>
                  <w:r>
                    <w:rPr>
                      <w:rFonts w:eastAsia="宋体" w:cs="Times New Roman"/>
                      <w:sz w:val="21"/>
                      <w:szCs w:val="21"/>
                    </w:rPr>
                    <w:t>环境高度敏感区（E1）</w:t>
                  </w:r>
                </w:p>
              </w:tc>
              <w:tc>
                <w:tcPr>
                  <w:tcW w:w="1538" w:type="dxa"/>
                  <w:vAlign w:val="center"/>
                </w:tcPr>
                <w:p>
                  <w:pPr>
                    <w:pStyle w:val="34"/>
                    <w:widowControl/>
                    <w:spacing w:after="0" w:line="0" w:lineRule="atLeast"/>
                    <w:ind w:firstLine="0" w:firstLineChars="0"/>
                    <w:jc w:val="center"/>
                    <w:rPr>
                      <w:rFonts w:eastAsia="宋体" w:cs="Times New Roman"/>
                      <w:sz w:val="21"/>
                      <w:szCs w:val="21"/>
                    </w:rPr>
                  </w:pPr>
                  <w:r>
                    <w:rPr>
                      <w:rFonts w:hint="eastAsia" w:eastAsia="宋体" w:cs="Times New Roman"/>
                      <w:sz w:val="21"/>
                      <w:szCs w:val="21"/>
                    </w:rPr>
                    <w:t>IV</w:t>
                  </w:r>
                  <w:r>
                    <w:rPr>
                      <w:rFonts w:eastAsia="宋体" w:cs="Times New Roman"/>
                      <w:sz w:val="21"/>
                      <w:szCs w:val="21"/>
                      <w:vertAlign w:val="superscript"/>
                    </w:rPr>
                    <w:t>+</w:t>
                  </w:r>
                </w:p>
              </w:tc>
              <w:tc>
                <w:tcPr>
                  <w:tcW w:w="1575" w:type="dxa"/>
                  <w:vAlign w:val="center"/>
                </w:tcPr>
                <w:p>
                  <w:pPr>
                    <w:pStyle w:val="34"/>
                    <w:widowControl/>
                    <w:spacing w:after="0" w:line="0" w:lineRule="atLeast"/>
                    <w:ind w:firstLine="0" w:firstLineChars="0"/>
                    <w:jc w:val="center"/>
                    <w:rPr>
                      <w:rFonts w:eastAsia="宋体" w:cs="Times New Roman"/>
                      <w:sz w:val="21"/>
                      <w:szCs w:val="21"/>
                    </w:rPr>
                  </w:pPr>
                  <w:r>
                    <w:rPr>
                      <w:rFonts w:hint="eastAsia" w:eastAsia="宋体" w:cs="Times New Roman"/>
                      <w:sz w:val="21"/>
                      <w:szCs w:val="21"/>
                    </w:rPr>
                    <w:t>IV</w:t>
                  </w:r>
                </w:p>
              </w:tc>
              <w:tc>
                <w:tcPr>
                  <w:tcW w:w="1525" w:type="dxa"/>
                  <w:vAlign w:val="center"/>
                </w:tcPr>
                <w:p>
                  <w:pPr>
                    <w:pStyle w:val="34"/>
                    <w:widowControl/>
                    <w:spacing w:after="0" w:line="0" w:lineRule="atLeast"/>
                    <w:ind w:firstLine="0" w:firstLineChars="0"/>
                    <w:jc w:val="center"/>
                    <w:rPr>
                      <w:rFonts w:eastAsia="宋体" w:cs="Times New Roman"/>
                      <w:sz w:val="21"/>
                      <w:szCs w:val="21"/>
                    </w:rPr>
                  </w:pPr>
                  <w:r>
                    <w:rPr>
                      <w:rFonts w:hint="eastAsia" w:eastAsia="宋体" w:cs="Times New Roman"/>
                      <w:sz w:val="21"/>
                      <w:szCs w:val="21"/>
                    </w:rPr>
                    <w:t>III</w:t>
                  </w:r>
                </w:p>
              </w:tc>
              <w:tc>
                <w:tcPr>
                  <w:tcW w:w="1511" w:type="dxa"/>
                  <w:tcBorders>
                    <w:right w:val="single" w:color="000000" w:sz="8" w:space="0"/>
                  </w:tcBorders>
                  <w:vAlign w:val="center"/>
                </w:tcPr>
                <w:p>
                  <w:pPr>
                    <w:pStyle w:val="34"/>
                    <w:widowControl/>
                    <w:spacing w:after="0" w:line="0" w:lineRule="atLeast"/>
                    <w:ind w:firstLine="0" w:firstLineChars="0"/>
                    <w:jc w:val="center"/>
                    <w:rPr>
                      <w:rFonts w:eastAsia="宋体" w:cs="Times New Roman"/>
                      <w:sz w:val="21"/>
                      <w:szCs w:val="21"/>
                    </w:rPr>
                  </w:pPr>
                  <w:r>
                    <w:rPr>
                      <w:rFonts w:hint="eastAsia" w:eastAsia="宋体" w:cs="Times New Roman"/>
                      <w:sz w:val="21"/>
                      <w:szCs w:val="21"/>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274" w:type="dxa"/>
                  <w:vAlign w:val="center"/>
                </w:tcPr>
                <w:p>
                  <w:pPr>
                    <w:pStyle w:val="34"/>
                    <w:widowControl/>
                    <w:spacing w:after="0" w:line="0" w:lineRule="atLeast"/>
                    <w:ind w:firstLine="0" w:firstLineChars="0"/>
                    <w:jc w:val="center"/>
                    <w:rPr>
                      <w:rFonts w:eastAsia="宋体" w:cs="Times New Roman"/>
                      <w:sz w:val="21"/>
                      <w:szCs w:val="21"/>
                    </w:rPr>
                  </w:pPr>
                  <w:r>
                    <w:rPr>
                      <w:rFonts w:eastAsia="宋体" w:cs="Times New Roman"/>
                      <w:sz w:val="21"/>
                      <w:szCs w:val="21"/>
                    </w:rPr>
                    <w:t>环境中度敏感区（E2）</w:t>
                  </w:r>
                </w:p>
              </w:tc>
              <w:tc>
                <w:tcPr>
                  <w:tcW w:w="1538" w:type="dxa"/>
                  <w:vAlign w:val="center"/>
                </w:tcPr>
                <w:p>
                  <w:pPr>
                    <w:pStyle w:val="34"/>
                    <w:widowControl/>
                    <w:spacing w:after="0" w:line="0" w:lineRule="atLeast"/>
                    <w:ind w:firstLine="0" w:firstLineChars="0"/>
                    <w:jc w:val="center"/>
                    <w:rPr>
                      <w:rFonts w:eastAsia="宋体" w:cs="Times New Roman"/>
                      <w:sz w:val="21"/>
                      <w:szCs w:val="21"/>
                    </w:rPr>
                  </w:pPr>
                  <w:r>
                    <w:rPr>
                      <w:rFonts w:hint="eastAsia" w:eastAsia="宋体" w:cs="Times New Roman"/>
                      <w:sz w:val="21"/>
                      <w:szCs w:val="21"/>
                    </w:rPr>
                    <w:t>IV</w:t>
                  </w:r>
                </w:p>
              </w:tc>
              <w:tc>
                <w:tcPr>
                  <w:tcW w:w="1575" w:type="dxa"/>
                  <w:vAlign w:val="center"/>
                </w:tcPr>
                <w:p>
                  <w:pPr>
                    <w:pStyle w:val="34"/>
                    <w:widowControl/>
                    <w:spacing w:after="0" w:line="0" w:lineRule="atLeast"/>
                    <w:ind w:firstLine="0" w:firstLineChars="0"/>
                    <w:jc w:val="center"/>
                    <w:rPr>
                      <w:rFonts w:eastAsia="宋体" w:cs="Times New Roman"/>
                      <w:sz w:val="21"/>
                      <w:szCs w:val="21"/>
                    </w:rPr>
                  </w:pPr>
                  <w:r>
                    <w:rPr>
                      <w:rFonts w:hint="eastAsia" w:eastAsia="宋体" w:cs="Times New Roman"/>
                      <w:sz w:val="21"/>
                      <w:szCs w:val="21"/>
                    </w:rPr>
                    <w:t>III</w:t>
                  </w:r>
                </w:p>
              </w:tc>
              <w:tc>
                <w:tcPr>
                  <w:tcW w:w="1525" w:type="dxa"/>
                  <w:vAlign w:val="center"/>
                </w:tcPr>
                <w:p>
                  <w:pPr>
                    <w:pStyle w:val="34"/>
                    <w:widowControl/>
                    <w:spacing w:after="0" w:line="0" w:lineRule="atLeast"/>
                    <w:ind w:firstLine="0" w:firstLineChars="0"/>
                    <w:jc w:val="center"/>
                    <w:rPr>
                      <w:rFonts w:eastAsia="宋体" w:cs="Times New Roman"/>
                      <w:sz w:val="21"/>
                      <w:szCs w:val="21"/>
                    </w:rPr>
                  </w:pPr>
                  <w:r>
                    <w:rPr>
                      <w:rFonts w:hint="eastAsia" w:eastAsia="宋体" w:cs="Times New Roman"/>
                      <w:sz w:val="21"/>
                      <w:szCs w:val="21"/>
                    </w:rPr>
                    <w:t>III</w:t>
                  </w:r>
                </w:p>
              </w:tc>
              <w:tc>
                <w:tcPr>
                  <w:tcW w:w="1511" w:type="dxa"/>
                  <w:tcBorders>
                    <w:right w:val="single" w:color="000000" w:sz="8" w:space="0"/>
                  </w:tcBorders>
                  <w:vAlign w:val="center"/>
                </w:tcPr>
                <w:p>
                  <w:pPr>
                    <w:pStyle w:val="34"/>
                    <w:widowControl/>
                    <w:spacing w:after="0" w:line="0" w:lineRule="atLeast"/>
                    <w:ind w:firstLine="0" w:firstLineChars="0"/>
                    <w:jc w:val="center"/>
                    <w:rPr>
                      <w:rFonts w:eastAsia="宋体" w:cs="Times New Roman"/>
                      <w:sz w:val="21"/>
                      <w:szCs w:val="21"/>
                    </w:rPr>
                  </w:pPr>
                  <w:r>
                    <w:rPr>
                      <w:rFonts w:hint="eastAsia" w:eastAsia="宋体" w:cs="Times New Roman"/>
                      <w:sz w:val="21"/>
                      <w:szCs w:val="21"/>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274" w:type="dxa"/>
                  <w:vAlign w:val="center"/>
                </w:tcPr>
                <w:p>
                  <w:pPr>
                    <w:pStyle w:val="34"/>
                    <w:widowControl/>
                    <w:spacing w:after="0" w:line="0" w:lineRule="atLeast"/>
                    <w:ind w:firstLine="0" w:firstLineChars="0"/>
                    <w:jc w:val="center"/>
                    <w:rPr>
                      <w:rFonts w:eastAsia="宋体" w:cs="Times New Roman"/>
                      <w:sz w:val="21"/>
                      <w:szCs w:val="21"/>
                    </w:rPr>
                  </w:pPr>
                  <w:r>
                    <w:rPr>
                      <w:rFonts w:eastAsia="宋体" w:cs="Times New Roman"/>
                      <w:sz w:val="21"/>
                      <w:szCs w:val="21"/>
                    </w:rPr>
                    <w:t>环境低度敏感区（E3）</w:t>
                  </w:r>
                </w:p>
              </w:tc>
              <w:tc>
                <w:tcPr>
                  <w:tcW w:w="1538" w:type="dxa"/>
                  <w:vAlign w:val="center"/>
                </w:tcPr>
                <w:p>
                  <w:pPr>
                    <w:pStyle w:val="34"/>
                    <w:widowControl/>
                    <w:spacing w:after="0" w:line="0" w:lineRule="atLeast"/>
                    <w:ind w:firstLine="0" w:firstLineChars="0"/>
                    <w:jc w:val="center"/>
                    <w:rPr>
                      <w:rFonts w:eastAsia="宋体" w:cs="Times New Roman"/>
                      <w:sz w:val="21"/>
                      <w:szCs w:val="21"/>
                    </w:rPr>
                  </w:pPr>
                  <w:r>
                    <w:rPr>
                      <w:rFonts w:hint="eastAsia" w:eastAsia="宋体" w:cs="Times New Roman"/>
                      <w:sz w:val="21"/>
                      <w:szCs w:val="21"/>
                    </w:rPr>
                    <w:t>III</w:t>
                  </w:r>
                </w:p>
              </w:tc>
              <w:tc>
                <w:tcPr>
                  <w:tcW w:w="1575" w:type="dxa"/>
                  <w:vAlign w:val="center"/>
                </w:tcPr>
                <w:p>
                  <w:pPr>
                    <w:pStyle w:val="34"/>
                    <w:widowControl/>
                    <w:spacing w:after="0" w:line="0" w:lineRule="atLeast"/>
                    <w:ind w:firstLine="0" w:firstLineChars="0"/>
                    <w:jc w:val="center"/>
                    <w:rPr>
                      <w:rFonts w:eastAsia="宋体" w:cs="Times New Roman"/>
                      <w:sz w:val="21"/>
                      <w:szCs w:val="21"/>
                    </w:rPr>
                  </w:pPr>
                  <w:r>
                    <w:rPr>
                      <w:rFonts w:hint="eastAsia" w:eastAsia="宋体" w:cs="Times New Roman"/>
                      <w:sz w:val="21"/>
                      <w:szCs w:val="21"/>
                    </w:rPr>
                    <w:t>III</w:t>
                  </w:r>
                </w:p>
              </w:tc>
              <w:tc>
                <w:tcPr>
                  <w:tcW w:w="1525" w:type="dxa"/>
                  <w:vAlign w:val="center"/>
                </w:tcPr>
                <w:p>
                  <w:pPr>
                    <w:pStyle w:val="34"/>
                    <w:widowControl/>
                    <w:spacing w:after="0" w:line="0" w:lineRule="atLeast"/>
                    <w:ind w:firstLine="0" w:firstLineChars="0"/>
                    <w:jc w:val="center"/>
                    <w:rPr>
                      <w:rFonts w:eastAsia="宋体" w:cs="Times New Roman"/>
                      <w:sz w:val="21"/>
                      <w:szCs w:val="21"/>
                    </w:rPr>
                  </w:pPr>
                  <w:r>
                    <w:rPr>
                      <w:rFonts w:hint="eastAsia" w:eastAsia="宋体" w:cs="Times New Roman"/>
                      <w:sz w:val="21"/>
                      <w:szCs w:val="21"/>
                    </w:rPr>
                    <w:t>II</w:t>
                  </w:r>
                </w:p>
              </w:tc>
              <w:tc>
                <w:tcPr>
                  <w:tcW w:w="1511" w:type="dxa"/>
                  <w:tcBorders>
                    <w:right w:val="single" w:color="000000" w:sz="8" w:space="0"/>
                  </w:tcBorders>
                  <w:vAlign w:val="center"/>
                </w:tcPr>
                <w:p>
                  <w:pPr>
                    <w:pStyle w:val="34"/>
                    <w:widowControl/>
                    <w:spacing w:after="0" w:line="0" w:lineRule="atLeast"/>
                    <w:ind w:firstLine="0" w:firstLineChars="0"/>
                    <w:jc w:val="center"/>
                    <w:rPr>
                      <w:rFonts w:eastAsia="宋体" w:cs="Times New Roman"/>
                      <w:sz w:val="21"/>
                      <w:szCs w:val="21"/>
                    </w:rPr>
                  </w:pPr>
                  <w:r>
                    <w:rPr>
                      <w:rFonts w:hint="eastAsia" w:eastAsia="宋体" w:cs="Times New Roman"/>
                      <w:sz w:val="2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423" w:type="dxa"/>
                  <w:gridSpan w:val="5"/>
                  <w:tcBorders>
                    <w:right w:val="single" w:color="000000" w:sz="8" w:space="0"/>
                  </w:tcBorders>
                  <w:vAlign w:val="center"/>
                </w:tcPr>
                <w:p>
                  <w:pPr>
                    <w:pStyle w:val="34"/>
                    <w:widowControl/>
                    <w:spacing w:after="0" w:line="0" w:lineRule="atLeast"/>
                    <w:ind w:firstLine="0" w:firstLineChars="0"/>
                    <w:rPr>
                      <w:rFonts w:eastAsia="宋体" w:cs="Times New Roman"/>
                      <w:sz w:val="21"/>
                      <w:szCs w:val="21"/>
                    </w:rPr>
                  </w:pPr>
                  <w:r>
                    <w:rPr>
                      <w:rFonts w:eastAsia="宋体" w:cs="Times New Roman"/>
                      <w:sz w:val="21"/>
                      <w:szCs w:val="21"/>
                    </w:rPr>
                    <w:t>注：</w:t>
                  </w:r>
                  <w:r>
                    <w:rPr>
                      <w:rFonts w:hint="eastAsia" w:eastAsia="宋体" w:cs="Times New Roman"/>
                      <w:sz w:val="21"/>
                      <w:szCs w:val="21"/>
                    </w:rPr>
                    <w:t>IV</w:t>
                  </w:r>
                  <w:r>
                    <w:rPr>
                      <w:rFonts w:eastAsia="宋体" w:cs="Times New Roman"/>
                      <w:sz w:val="21"/>
                      <w:szCs w:val="21"/>
                      <w:vertAlign w:val="superscript"/>
                    </w:rPr>
                    <w:t>+</w:t>
                  </w:r>
                  <w:r>
                    <w:rPr>
                      <w:rFonts w:eastAsia="宋体" w:cs="Times New Roman"/>
                      <w:sz w:val="21"/>
                      <w:szCs w:val="21"/>
                    </w:rPr>
                    <w:t>为极高环境风险</w:t>
                  </w:r>
                </w:p>
              </w:tc>
            </w:tr>
          </w:tbl>
          <w:p>
            <w:pPr>
              <w:adjustRightInd w:val="0"/>
              <w:snapToGrid w:val="0"/>
              <w:ind w:firstLine="482"/>
              <w:rPr>
                <w:rFonts w:eastAsia="宋体" w:cs="Times New Roman"/>
                <w:b/>
                <w:szCs w:val="24"/>
              </w:rPr>
            </w:pPr>
            <w:r>
              <w:rPr>
                <w:rFonts w:hint="eastAsia" w:eastAsia="宋体" w:cs="Times New Roman"/>
                <w:b/>
                <w:szCs w:val="24"/>
              </w:rPr>
              <w:t>（</w:t>
            </w:r>
            <w:r>
              <w:rPr>
                <w:rFonts w:eastAsia="宋体" w:cs="Times New Roman"/>
                <w:b/>
                <w:szCs w:val="24"/>
              </w:rPr>
              <w:t>2）P的分级确定</w:t>
            </w:r>
          </w:p>
          <w:p>
            <w:pPr>
              <w:adjustRightInd w:val="0"/>
              <w:snapToGrid w:val="0"/>
              <w:ind w:firstLine="482"/>
              <w:rPr>
                <w:rFonts w:eastAsia="宋体" w:cs="Times New Roman"/>
                <w:b/>
                <w:szCs w:val="24"/>
              </w:rPr>
            </w:pPr>
            <w:r>
              <w:rPr>
                <w:rFonts w:eastAsia="宋体" w:cs="Times New Roman"/>
                <w:b/>
                <w:szCs w:val="24"/>
              </w:rPr>
              <w:t>①</w:t>
            </w:r>
            <w:r>
              <w:rPr>
                <w:rFonts w:hint="eastAsia" w:eastAsia="宋体" w:cs="Times New Roman"/>
                <w:b/>
                <w:szCs w:val="24"/>
              </w:rPr>
              <w:t xml:space="preserve"> </w:t>
            </w:r>
            <w:r>
              <w:rPr>
                <w:rFonts w:eastAsia="宋体" w:cs="Times New Roman"/>
                <w:b/>
                <w:szCs w:val="24"/>
              </w:rPr>
              <w:t>Q值确定</w:t>
            </w:r>
          </w:p>
          <w:p>
            <w:pPr>
              <w:pStyle w:val="34"/>
              <w:widowControl/>
              <w:spacing w:after="0"/>
              <w:ind w:firstLine="480" w:firstLineChars="200"/>
              <w:rPr>
                <w:rFonts w:eastAsia="宋体" w:cs="Times New Roman"/>
              </w:rPr>
            </w:pPr>
            <w:r>
              <w:rPr>
                <w:rFonts w:eastAsia="宋体" w:cs="Times New Roman"/>
              </w:rPr>
              <w:t>根据《建设项目环境风险评价技术导则》（HJ169-2018）附录C危险物质数量与临界量比值Q的计算方法：</w:t>
            </w:r>
          </w:p>
          <w:p>
            <w:pPr>
              <w:pStyle w:val="34"/>
              <w:widowControl/>
              <w:spacing w:after="0"/>
              <w:ind w:firstLine="480" w:firstLineChars="200"/>
              <w:rPr>
                <w:rFonts w:eastAsia="宋体" w:cs="Times New Roman"/>
              </w:rPr>
            </w:pPr>
            <w:r>
              <w:rPr>
                <w:rFonts w:eastAsia="宋体" w:cs="Times New Roman"/>
              </w:rPr>
              <w:t>当只涉及一种危险物质时，计算该物质的总量与临界量的比值，即为Q；当存在多种危险物质时，则按下式计算物质总量与其临界量比值（Q）：</w:t>
            </w:r>
          </w:p>
          <w:p>
            <w:pPr>
              <w:pStyle w:val="34"/>
              <w:widowControl/>
              <w:spacing w:after="0"/>
              <w:ind w:firstLine="480" w:firstLineChars="200"/>
              <w:rPr>
                <w:rFonts w:eastAsia="宋体" w:cs="Times New Roman"/>
                <w:bCs/>
              </w:rPr>
            </w:pPr>
            <w:r>
              <w:rPr>
                <w:rFonts w:eastAsia="宋体" w:cs="Times New Roman"/>
                <w:bCs/>
                <w:position w:val="-38"/>
              </w:rPr>
              <w:object>
                <v:shape id="_x0000_i1025" o:spt="75" type="#_x0000_t75" style="height:34.8pt;width:103.2pt;" o:ole="t" filled="f" o:preferrelative="t" stroked="f" coordsize="21600,21600">
                  <v:path/>
                  <v:fill on="f" focussize="0,0"/>
                  <v:stroke on="f" joinstyle="miter"/>
                  <v:imagedata r:id="rId21" o:title=""/>
                  <o:lock v:ext="edit" aspectratio="t"/>
                  <w10:wrap type="none"/>
                  <w10:anchorlock/>
                </v:shape>
                <o:OLEObject Type="Embed" ProgID="Equation.KSEE3" ShapeID="_x0000_i1025" DrawAspect="Content" ObjectID="_1468075725" r:id="rId20">
                  <o:LockedField>false</o:LockedField>
                </o:OLEObject>
              </w:object>
            </w:r>
          </w:p>
          <w:p>
            <w:pPr>
              <w:pStyle w:val="2"/>
              <w:ind w:firstLine="480"/>
              <w:rPr>
                <w:rFonts w:cs="Times New Roman"/>
                <w:bCs/>
              </w:rPr>
            </w:pPr>
            <w:r>
              <w:rPr>
                <w:rFonts w:cs="Times New Roman"/>
                <w:bCs/>
              </w:rPr>
              <w:t>式中：q</w:t>
            </w:r>
            <w:r>
              <w:rPr>
                <w:rFonts w:cs="Times New Roman"/>
                <w:bCs/>
                <w:vertAlign w:val="subscript"/>
              </w:rPr>
              <w:t>1</w:t>
            </w:r>
            <w:r>
              <w:rPr>
                <w:rFonts w:cs="Times New Roman"/>
                <w:bCs/>
              </w:rPr>
              <w:t>，q</w:t>
            </w:r>
            <w:r>
              <w:rPr>
                <w:rFonts w:cs="Times New Roman"/>
                <w:bCs/>
                <w:vertAlign w:val="subscript"/>
              </w:rPr>
              <w:t>2</w:t>
            </w:r>
            <w:r>
              <w:rPr>
                <w:rFonts w:cs="Times New Roman"/>
                <w:bCs/>
              </w:rPr>
              <w:t>，…，q</w:t>
            </w:r>
            <w:r>
              <w:rPr>
                <w:rFonts w:cs="Times New Roman"/>
                <w:bCs/>
                <w:vertAlign w:val="subscript"/>
              </w:rPr>
              <w:t>n</w:t>
            </w:r>
            <w:r>
              <w:rPr>
                <w:rFonts w:cs="Times New Roman"/>
                <w:bCs/>
              </w:rPr>
              <w:t>——每种危险物质的最大存在总量，t；</w:t>
            </w:r>
          </w:p>
          <w:p>
            <w:pPr>
              <w:pStyle w:val="2"/>
              <w:ind w:firstLine="480"/>
              <w:rPr>
                <w:rFonts w:cs="Times New Roman"/>
                <w:bCs/>
              </w:rPr>
            </w:pPr>
            <w:r>
              <w:rPr>
                <w:rFonts w:cs="Times New Roman"/>
                <w:bCs/>
              </w:rPr>
              <w:t>Q</w:t>
            </w:r>
            <w:r>
              <w:rPr>
                <w:rFonts w:cs="Times New Roman"/>
                <w:bCs/>
                <w:vertAlign w:val="subscript"/>
              </w:rPr>
              <w:t>1</w:t>
            </w:r>
            <w:r>
              <w:rPr>
                <w:rFonts w:cs="Times New Roman"/>
                <w:bCs/>
              </w:rPr>
              <w:t>，Q</w:t>
            </w:r>
            <w:r>
              <w:rPr>
                <w:rFonts w:cs="Times New Roman"/>
                <w:bCs/>
                <w:vertAlign w:val="subscript"/>
              </w:rPr>
              <w:t>2</w:t>
            </w:r>
            <w:r>
              <w:rPr>
                <w:rFonts w:cs="Times New Roman"/>
                <w:bCs/>
              </w:rPr>
              <w:t>，…，Q</w:t>
            </w:r>
            <w:r>
              <w:rPr>
                <w:rFonts w:cs="Times New Roman"/>
                <w:bCs/>
                <w:vertAlign w:val="subscript"/>
              </w:rPr>
              <w:t>n</w:t>
            </w:r>
            <w:r>
              <w:rPr>
                <w:rFonts w:cs="Times New Roman"/>
                <w:bCs/>
              </w:rPr>
              <w:t>——每种危险物质的临界量，t。</w:t>
            </w:r>
          </w:p>
          <w:p>
            <w:pPr>
              <w:ind w:firstLine="480"/>
              <w:rPr>
                <w:rFonts w:eastAsia="宋体" w:cs="Times New Roman"/>
                <w:bCs/>
              </w:rPr>
            </w:pPr>
            <w:r>
              <w:rPr>
                <w:rFonts w:eastAsia="宋体" w:cs="Times New Roman"/>
                <w:bCs/>
              </w:rPr>
              <w:t>当Q＜1时，该项目环境风险潜势为</w:t>
            </w:r>
            <w:r>
              <w:rPr>
                <w:rFonts w:hint="eastAsia" w:eastAsia="宋体" w:cs="Times New Roman"/>
                <w:bCs/>
              </w:rPr>
              <w:t>I；</w:t>
            </w:r>
          </w:p>
          <w:p>
            <w:pPr>
              <w:ind w:firstLine="480"/>
              <w:rPr>
                <w:rFonts w:eastAsia="宋体" w:cs="Times New Roman"/>
                <w:bCs/>
              </w:rPr>
            </w:pPr>
            <w:r>
              <w:rPr>
                <w:rFonts w:eastAsia="宋体" w:cs="Times New Roman"/>
                <w:bCs/>
              </w:rPr>
              <w:t>当Q≥1时，将Q值划分为：（1）1≤Q＜10；（2）10≤Q＜100；（3）Q≥100。</w:t>
            </w:r>
          </w:p>
          <w:p>
            <w:pPr>
              <w:ind w:firstLine="480"/>
              <w:jc w:val="left"/>
              <w:rPr>
                <w:rFonts w:eastAsia="宋体" w:cs="Times New Roman"/>
                <w:bCs/>
                <w:szCs w:val="24"/>
              </w:rPr>
            </w:pPr>
            <w:r>
              <w:rPr>
                <w:rFonts w:eastAsia="宋体" w:cs="Times New Roman"/>
                <w:bCs/>
              </w:rPr>
              <w:t>根据</w:t>
            </w:r>
            <w:r>
              <w:rPr>
                <w:rFonts w:eastAsia="宋体" w:cs="Times New Roman"/>
                <w:bCs/>
                <w:szCs w:val="24"/>
              </w:rPr>
              <w:t>《建设项目环境风险评价技术导则》（HJ169-2018）附录B表B.1突发环境事件风险物质及临界值表，项目物料存储量对比情况见</w:t>
            </w:r>
            <w:r>
              <w:rPr>
                <w:rFonts w:hint="eastAsia" w:eastAsia="宋体" w:cs="Times New Roman"/>
                <w:bCs/>
                <w:szCs w:val="24"/>
              </w:rPr>
              <w:t>表4-19。</w:t>
            </w:r>
          </w:p>
          <w:p>
            <w:pPr>
              <w:ind w:firstLine="482"/>
              <w:jc w:val="center"/>
              <w:rPr>
                <w:rFonts w:cs="Times New Roman"/>
                <w:b/>
                <w:bCs/>
                <w:szCs w:val="24"/>
              </w:rPr>
            </w:pPr>
            <w:r>
              <w:rPr>
                <w:rFonts w:hint="eastAsia" w:cs="Times New Roman"/>
                <w:b/>
                <w:bCs/>
                <w:szCs w:val="24"/>
              </w:rPr>
              <w:t xml:space="preserve">表4-19 </w:t>
            </w:r>
            <w:r>
              <w:rPr>
                <w:rFonts w:cs="Times New Roman"/>
                <w:b/>
                <w:bCs/>
                <w:szCs w:val="24"/>
              </w:rPr>
              <w:t>项目物料存储情况</w:t>
            </w:r>
          </w:p>
          <w:tbl>
            <w:tblPr>
              <w:tblStyle w:val="36"/>
              <w:tblW w:w="78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1162"/>
              <w:gridCol w:w="1388"/>
              <w:gridCol w:w="2112"/>
              <w:gridCol w:w="2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2" w:type="dxa"/>
                </w:tcPr>
                <w:p>
                  <w:pPr>
                    <w:spacing w:line="240" w:lineRule="auto"/>
                    <w:ind w:firstLine="0" w:firstLineChars="0"/>
                    <w:jc w:val="center"/>
                    <w:rPr>
                      <w:rFonts w:eastAsia="宋体" w:cs="Times New Roman"/>
                      <w:b/>
                      <w:bCs/>
                      <w:sz w:val="21"/>
                      <w:szCs w:val="21"/>
                    </w:rPr>
                  </w:pPr>
                  <w:r>
                    <w:rPr>
                      <w:rFonts w:eastAsia="宋体" w:cs="Times New Roman"/>
                      <w:b/>
                      <w:bCs/>
                      <w:sz w:val="21"/>
                      <w:szCs w:val="21"/>
                    </w:rPr>
                    <w:t>序号</w:t>
                  </w:r>
                </w:p>
              </w:tc>
              <w:tc>
                <w:tcPr>
                  <w:tcW w:w="1162" w:type="dxa"/>
                </w:tcPr>
                <w:p>
                  <w:pPr>
                    <w:spacing w:line="240" w:lineRule="auto"/>
                    <w:ind w:firstLine="0" w:firstLineChars="0"/>
                    <w:jc w:val="center"/>
                    <w:rPr>
                      <w:rFonts w:eastAsia="宋体" w:cs="Times New Roman"/>
                      <w:b/>
                      <w:bCs/>
                      <w:sz w:val="21"/>
                      <w:szCs w:val="21"/>
                    </w:rPr>
                  </w:pPr>
                  <w:r>
                    <w:rPr>
                      <w:rFonts w:eastAsia="宋体" w:cs="Times New Roman"/>
                      <w:b/>
                      <w:bCs/>
                      <w:sz w:val="21"/>
                      <w:szCs w:val="21"/>
                    </w:rPr>
                    <w:t>危险物质</w:t>
                  </w:r>
                </w:p>
              </w:tc>
              <w:tc>
                <w:tcPr>
                  <w:tcW w:w="1388" w:type="dxa"/>
                </w:tcPr>
                <w:p>
                  <w:pPr>
                    <w:spacing w:line="240" w:lineRule="auto"/>
                    <w:ind w:firstLine="0" w:firstLineChars="0"/>
                    <w:jc w:val="center"/>
                    <w:rPr>
                      <w:rFonts w:eastAsia="宋体" w:cs="Times New Roman"/>
                      <w:b/>
                      <w:bCs/>
                      <w:sz w:val="21"/>
                      <w:szCs w:val="21"/>
                    </w:rPr>
                  </w:pPr>
                  <w:r>
                    <w:rPr>
                      <w:rFonts w:eastAsia="宋体" w:cs="Times New Roman"/>
                      <w:b/>
                      <w:bCs/>
                      <w:sz w:val="21"/>
                      <w:szCs w:val="21"/>
                    </w:rPr>
                    <w:t>临界量（t）</w:t>
                  </w:r>
                </w:p>
              </w:tc>
              <w:tc>
                <w:tcPr>
                  <w:tcW w:w="2112" w:type="dxa"/>
                </w:tcPr>
                <w:p>
                  <w:pPr>
                    <w:spacing w:line="240" w:lineRule="auto"/>
                    <w:ind w:firstLine="0" w:firstLineChars="0"/>
                    <w:jc w:val="center"/>
                    <w:rPr>
                      <w:rFonts w:eastAsia="宋体" w:cs="Times New Roman"/>
                      <w:b/>
                      <w:bCs/>
                      <w:sz w:val="21"/>
                      <w:szCs w:val="21"/>
                    </w:rPr>
                  </w:pPr>
                  <w:r>
                    <w:rPr>
                      <w:rFonts w:eastAsia="宋体" w:cs="Times New Roman"/>
                      <w:b/>
                      <w:bCs/>
                      <w:sz w:val="21"/>
                      <w:szCs w:val="21"/>
                    </w:rPr>
                    <w:t>单元实际存储量（t）</w:t>
                  </w:r>
                </w:p>
              </w:tc>
              <w:tc>
                <w:tcPr>
                  <w:tcW w:w="2455" w:type="dxa"/>
                  <w:tcBorders>
                    <w:right w:val="single" w:color="000000" w:sz="8" w:space="0"/>
                  </w:tcBorders>
                </w:tcPr>
                <w:p>
                  <w:pPr>
                    <w:spacing w:line="240" w:lineRule="auto"/>
                    <w:ind w:firstLine="0" w:firstLineChars="0"/>
                    <w:jc w:val="center"/>
                    <w:rPr>
                      <w:rFonts w:eastAsia="宋体" w:cs="Times New Roman"/>
                      <w:b/>
                      <w:bCs/>
                      <w:sz w:val="21"/>
                      <w:szCs w:val="21"/>
                    </w:rPr>
                  </w:pPr>
                  <w:r>
                    <w:rPr>
                      <w:rFonts w:eastAsia="宋体" w:cs="Times New Roman"/>
                      <w:b/>
                      <w:bCs/>
                      <w:sz w:val="21"/>
                      <w:szCs w:val="21"/>
                    </w:rPr>
                    <w:t>q/Q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2" w:type="dxa"/>
                  <w:vAlign w:val="center"/>
                </w:tcPr>
                <w:p>
                  <w:pPr>
                    <w:spacing w:line="240" w:lineRule="auto"/>
                    <w:ind w:firstLine="0" w:firstLineChars="0"/>
                    <w:jc w:val="center"/>
                    <w:rPr>
                      <w:rFonts w:eastAsia="宋体" w:cs="Times New Roman"/>
                      <w:sz w:val="21"/>
                      <w:szCs w:val="21"/>
                    </w:rPr>
                  </w:pPr>
                  <w:r>
                    <w:rPr>
                      <w:rFonts w:eastAsia="宋体" w:cs="Times New Roman"/>
                      <w:sz w:val="21"/>
                      <w:szCs w:val="21"/>
                    </w:rPr>
                    <w:t>1</w:t>
                  </w:r>
                </w:p>
              </w:tc>
              <w:tc>
                <w:tcPr>
                  <w:tcW w:w="1162" w:type="dxa"/>
                  <w:vAlign w:val="center"/>
                </w:tcPr>
                <w:p>
                  <w:pPr>
                    <w:spacing w:line="240" w:lineRule="auto"/>
                    <w:ind w:firstLine="0" w:firstLineChars="0"/>
                    <w:jc w:val="center"/>
                    <w:rPr>
                      <w:rFonts w:eastAsia="宋体" w:cs="Times New Roman"/>
                      <w:sz w:val="21"/>
                      <w:szCs w:val="21"/>
                    </w:rPr>
                  </w:pPr>
                  <w:r>
                    <w:rPr>
                      <w:rFonts w:eastAsia="宋体" w:cs="Times New Roman"/>
                      <w:sz w:val="21"/>
                      <w:szCs w:val="21"/>
                    </w:rPr>
                    <w:t>酒精</w:t>
                  </w:r>
                </w:p>
              </w:tc>
              <w:tc>
                <w:tcPr>
                  <w:tcW w:w="1388" w:type="dxa"/>
                  <w:vAlign w:val="center"/>
                </w:tcPr>
                <w:p>
                  <w:pPr>
                    <w:pStyle w:val="182"/>
                    <w:ind w:firstLine="0" w:firstLineChars="0"/>
                    <w:rPr>
                      <w:rFonts w:hAnsi="Times New Roman" w:eastAsia="宋体" w:cs="Times New Roman"/>
                    </w:rPr>
                  </w:pPr>
                  <w:r>
                    <w:rPr>
                      <w:rFonts w:hAnsi="Times New Roman" w:eastAsia="宋体" w:cs="Times New Roman"/>
                    </w:rPr>
                    <w:t>500</w:t>
                  </w:r>
                </w:p>
              </w:tc>
              <w:tc>
                <w:tcPr>
                  <w:tcW w:w="2112" w:type="dxa"/>
                  <w:vAlign w:val="center"/>
                </w:tcPr>
                <w:p>
                  <w:pPr>
                    <w:pStyle w:val="182"/>
                    <w:ind w:firstLine="0" w:firstLineChars="0"/>
                    <w:rPr>
                      <w:rFonts w:hAnsi="Times New Roman" w:eastAsia="宋体" w:cs="Times New Roman"/>
                    </w:rPr>
                  </w:pPr>
                  <w:r>
                    <w:rPr>
                      <w:rFonts w:hAnsi="Times New Roman" w:eastAsia="宋体" w:cs="Times New Roman"/>
                    </w:rPr>
                    <w:t>0.0257</w:t>
                  </w:r>
                </w:p>
              </w:tc>
              <w:tc>
                <w:tcPr>
                  <w:tcW w:w="2455" w:type="dxa"/>
                  <w:tcBorders>
                    <w:right w:val="single" w:color="000000" w:sz="8" w:space="0"/>
                  </w:tcBorders>
                  <w:vAlign w:val="center"/>
                </w:tcPr>
                <w:p>
                  <w:pPr>
                    <w:pStyle w:val="182"/>
                    <w:ind w:firstLine="0" w:firstLineChars="0"/>
                    <w:rPr>
                      <w:rFonts w:hAnsi="Times New Roman" w:eastAsia="宋体" w:cs="Times New Roman"/>
                    </w:rPr>
                  </w:pPr>
                  <w:r>
                    <w:rPr>
                      <w:rFonts w:hAnsi="Times New Roman" w:eastAsia="宋体" w:cs="Times New Roman"/>
                    </w:rPr>
                    <w:t>0.000051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2" w:type="dxa"/>
                  <w:vAlign w:val="center"/>
                </w:tcPr>
                <w:p>
                  <w:pPr>
                    <w:spacing w:line="240" w:lineRule="auto"/>
                    <w:ind w:firstLine="0" w:firstLineChars="0"/>
                    <w:jc w:val="center"/>
                    <w:rPr>
                      <w:rFonts w:eastAsia="宋体" w:cs="Times New Roman"/>
                      <w:sz w:val="21"/>
                      <w:szCs w:val="21"/>
                    </w:rPr>
                  </w:pPr>
                  <w:r>
                    <w:rPr>
                      <w:rFonts w:eastAsia="宋体" w:cs="Times New Roman"/>
                      <w:sz w:val="21"/>
                      <w:szCs w:val="21"/>
                    </w:rPr>
                    <w:t>2</w:t>
                  </w:r>
                </w:p>
              </w:tc>
              <w:tc>
                <w:tcPr>
                  <w:tcW w:w="1162" w:type="dxa"/>
                  <w:vAlign w:val="center"/>
                </w:tcPr>
                <w:p>
                  <w:pPr>
                    <w:spacing w:line="240" w:lineRule="auto"/>
                    <w:ind w:firstLine="0" w:firstLineChars="0"/>
                    <w:jc w:val="center"/>
                    <w:rPr>
                      <w:rFonts w:eastAsia="宋体" w:cs="Times New Roman"/>
                      <w:sz w:val="21"/>
                      <w:szCs w:val="21"/>
                    </w:rPr>
                  </w:pPr>
                  <w:r>
                    <w:rPr>
                      <w:rFonts w:eastAsia="宋体" w:cs="Times New Roman"/>
                      <w:sz w:val="21"/>
                      <w:szCs w:val="21"/>
                    </w:rPr>
                    <w:t>次氯酸钠</w:t>
                  </w:r>
                </w:p>
              </w:tc>
              <w:tc>
                <w:tcPr>
                  <w:tcW w:w="1388" w:type="dxa"/>
                  <w:vAlign w:val="center"/>
                </w:tcPr>
                <w:p>
                  <w:pPr>
                    <w:pStyle w:val="182"/>
                    <w:ind w:firstLine="0" w:firstLineChars="0"/>
                    <w:rPr>
                      <w:rFonts w:hAnsi="Times New Roman" w:eastAsia="宋体" w:cs="Times New Roman"/>
                    </w:rPr>
                  </w:pPr>
                  <w:r>
                    <w:rPr>
                      <w:rFonts w:hAnsi="Times New Roman" w:eastAsia="宋体" w:cs="Times New Roman"/>
                    </w:rPr>
                    <w:t>5</w:t>
                  </w:r>
                </w:p>
              </w:tc>
              <w:tc>
                <w:tcPr>
                  <w:tcW w:w="2112" w:type="dxa"/>
                  <w:vAlign w:val="center"/>
                </w:tcPr>
                <w:p>
                  <w:pPr>
                    <w:pStyle w:val="182"/>
                    <w:ind w:firstLine="0" w:firstLineChars="0"/>
                    <w:rPr>
                      <w:rFonts w:hAnsi="Times New Roman" w:eastAsia="宋体" w:cs="Times New Roman"/>
                    </w:rPr>
                  </w:pPr>
                  <w:r>
                    <w:rPr>
                      <w:rFonts w:hAnsi="Times New Roman" w:eastAsia="宋体" w:cs="Times New Roman"/>
                    </w:rPr>
                    <w:t>0.1</w:t>
                  </w:r>
                </w:p>
              </w:tc>
              <w:tc>
                <w:tcPr>
                  <w:tcW w:w="2455" w:type="dxa"/>
                  <w:tcBorders>
                    <w:right w:val="single" w:color="000000" w:sz="8" w:space="0"/>
                  </w:tcBorders>
                  <w:vAlign w:val="center"/>
                </w:tcPr>
                <w:p>
                  <w:pPr>
                    <w:pStyle w:val="182"/>
                    <w:ind w:firstLine="0" w:firstLineChars="0"/>
                    <w:rPr>
                      <w:rFonts w:hAnsi="Times New Roman" w:eastAsia="宋体" w:cs="Times New Roman"/>
                    </w:rPr>
                  </w:pPr>
                  <w:r>
                    <w:rPr>
                      <w:rFonts w:hAnsi="Times New Roman" w:eastAsia="宋体" w:cs="Times New Roman"/>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12" w:type="dxa"/>
                  <w:vAlign w:val="center"/>
                </w:tcPr>
                <w:p>
                  <w:pPr>
                    <w:spacing w:line="240" w:lineRule="auto"/>
                    <w:ind w:firstLine="0" w:firstLineChars="0"/>
                    <w:jc w:val="center"/>
                    <w:rPr>
                      <w:rFonts w:eastAsia="宋体" w:cs="Times New Roman"/>
                      <w:sz w:val="21"/>
                      <w:szCs w:val="21"/>
                    </w:rPr>
                  </w:pPr>
                  <w:r>
                    <w:rPr>
                      <w:rFonts w:eastAsia="宋体" w:cs="Times New Roman"/>
                      <w:sz w:val="21"/>
                      <w:szCs w:val="21"/>
                    </w:rPr>
                    <w:t>3</w:t>
                  </w:r>
                </w:p>
              </w:tc>
              <w:tc>
                <w:tcPr>
                  <w:tcW w:w="1162" w:type="dxa"/>
                  <w:vAlign w:val="center"/>
                </w:tcPr>
                <w:p>
                  <w:pPr>
                    <w:spacing w:line="240" w:lineRule="auto"/>
                    <w:ind w:firstLine="0" w:firstLineChars="0"/>
                    <w:jc w:val="center"/>
                    <w:rPr>
                      <w:rFonts w:eastAsia="宋体" w:cs="Times New Roman"/>
                      <w:sz w:val="21"/>
                      <w:szCs w:val="21"/>
                    </w:rPr>
                  </w:pPr>
                  <w:r>
                    <w:rPr>
                      <w:rFonts w:eastAsia="宋体" w:cs="Times New Roman"/>
                      <w:sz w:val="21"/>
                      <w:szCs w:val="21"/>
                    </w:rPr>
                    <w:t>氧气</w:t>
                  </w:r>
                </w:p>
              </w:tc>
              <w:tc>
                <w:tcPr>
                  <w:tcW w:w="1388" w:type="dxa"/>
                </w:tcPr>
                <w:p>
                  <w:pPr>
                    <w:spacing w:line="240" w:lineRule="auto"/>
                    <w:ind w:firstLine="0" w:firstLineChars="0"/>
                    <w:jc w:val="center"/>
                    <w:rPr>
                      <w:rFonts w:eastAsia="宋体" w:cs="Times New Roman"/>
                      <w:sz w:val="21"/>
                      <w:szCs w:val="21"/>
                    </w:rPr>
                  </w:pPr>
                  <w:r>
                    <w:rPr>
                      <w:rFonts w:eastAsia="宋体" w:cs="Times New Roman"/>
                      <w:sz w:val="21"/>
                      <w:szCs w:val="21"/>
                    </w:rPr>
                    <w:t>200</w:t>
                  </w:r>
                </w:p>
              </w:tc>
              <w:tc>
                <w:tcPr>
                  <w:tcW w:w="2112" w:type="dxa"/>
                  <w:vAlign w:val="center"/>
                </w:tcPr>
                <w:p>
                  <w:pPr>
                    <w:pStyle w:val="182"/>
                    <w:ind w:firstLine="0" w:firstLineChars="0"/>
                    <w:rPr>
                      <w:rFonts w:hAnsi="Times New Roman" w:eastAsia="宋体" w:cs="Times New Roman"/>
                    </w:rPr>
                  </w:pPr>
                  <w:r>
                    <w:rPr>
                      <w:rFonts w:hAnsi="Times New Roman" w:eastAsia="宋体" w:cs="Times New Roman"/>
                    </w:rPr>
                    <w:t>0.0429</w:t>
                  </w:r>
                </w:p>
              </w:tc>
              <w:tc>
                <w:tcPr>
                  <w:tcW w:w="2455" w:type="dxa"/>
                  <w:tcBorders>
                    <w:right w:val="single" w:color="000000" w:sz="8" w:space="0"/>
                  </w:tcBorders>
                  <w:vAlign w:val="center"/>
                </w:tcPr>
                <w:p>
                  <w:pPr>
                    <w:pStyle w:val="182"/>
                    <w:ind w:firstLine="0" w:firstLineChars="0"/>
                    <w:rPr>
                      <w:rFonts w:hAnsi="Times New Roman" w:eastAsia="宋体" w:cs="Times New Roman"/>
                    </w:rPr>
                  </w:pPr>
                  <w:r>
                    <w:rPr>
                      <w:rFonts w:hAnsi="Times New Roman" w:eastAsia="宋体" w:cs="Times New Roman"/>
                    </w:rPr>
                    <w:t>0.000215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5374" w:type="dxa"/>
                  <w:gridSpan w:val="4"/>
                </w:tcPr>
                <w:p>
                  <w:pPr>
                    <w:spacing w:line="240" w:lineRule="auto"/>
                    <w:ind w:firstLine="0" w:firstLineChars="0"/>
                    <w:jc w:val="center"/>
                    <w:rPr>
                      <w:rFonts w:eastAsia="宋体" w:cs="Times New Roman"/>
                      <w:sz w:val="21"/>
                      <w:szCs w:val="21"/>
                    </w:rPr>
                  </w:pPr>
                  <w:r>
                    <w:rPr>
                      <w:rFonts w:eastAsia="宋体" w:cs="Times New Roman"/>
                      <w:sz w:val="21"/>
                      <w:szCs w:val="21"/>
                    </w:rPr>
                    <w:t>Q 值</w:t>
                  </w:r>
                </w:p>
              </w:tc>
              <w:tc>
                <w:tcPr>
                  <w:tcW w:w="2455" w:type="dxa"/>
                  <w:tcBorders>
                    <w:right w:val="single" w:color="000000" w:sz="8" w:space="0"/>
                  </w:tcBorders>
                  <w:vAlign w:val="center"/>
                </w:tcPr>
                <w:p>
                  <w:pPr>
                    <w:pStyle w:val="182"/>
                    <w:ind w:firstLine="0" w:firstLineChars="0"/>
                    <w:rPr>
                      <w:rFonts w:hAnsi="Times New Roman" w:eastAsia="宋体" w:cs="Times New Roman"/>
                    </w:rPr>
                  </w:pPr>
                  <w:r>
                    <w:rPr>
                      <w:rFonts w:hint="eastAsia" w:hAnsi="Times New Roman" w:eastAsia="宋体" w:cs="Times New Roman"/>
                    </w:rPr>
                    <w:t>0.020266</w:t>
                  </w:r>
                </w:p>
              </w:tc>
            </w:tr>
          </w:tbl>
          <w:p>
            <w:pPr>
              <w:ind w:firstLine="480"/>
              <w:jc w:val="left"/>
              <w:rPr>
                <w:rFonts w:eastAsia="宋体" w:cs="Times New Roman"/>
                <w:bCs/>
              </w:rPr>
            </w:pPr>
            <w:r>
              <w:rPr>
                <w:rFonts w:hint="eastAsia" w:eastAsia="宋体" w:cs="Times New Roman"/>
                <w:bCs/>
              </w:rPr>
              <w:t>由上表可知，本项目</w:t>
            </w:r>
            <w:r>
              <w:rPr>
                <w:rFonts w:eastAsia="宋体" w:cs="Times New Roman"/>
                <w:bCs/>
              </w:rPr>
              <w:t>Q值计算为</w:t>
            </w:r>
            <w:r>
              <w:rPr>
                <w:rFonts w:hint="eastAsia" w:eastAsia="宋体" w:cs="Times New Roman"/>
                <w:bCs/>
                <w:szCs w:val="24"/>
              </w:rPr>
              <w:t>0.</w:t>
            </w:r>
            <w:r>
              <w:rPr>
                <w:rFonts w:hint="eastAsia" w:eastAsia="宋体" w:cs="Times New Roman"/>
                <w:szCs w:val="24"/>
              </w:rPr>
              <w:t>02026</w:t>
            </w:r>
            <w:r>
              <w:rPr>
                <w:rFonts w:eastAsia="宋体" w:cs="Times New Roman"/>
                <w:bCs/>
                <w:szCs w:val="24"/>
              </w:rPr>
              <w:t>&lt;</w:t>
            </w:r>
            <w:r>
              <w:rPr>
                <w:rFonts w:eastAsia="宋体" w:cs="Times New Roman"/>
                <w:bCs/>
              </w:rPr>
              <w:t>1</w:t>
            </w:r>
            <w:r>
              <w:rPr>
                <w:rFonts w:hint="eastAsia" w:eastAsia="宋体" w:cs="Times New Roman"/>
                <w:bCs/>
              </w:rPr>
              <w:t>，</w:t>
            </w:r>
            <w:r>
              <w:rPr>
                <w:rFonts w:eastAsia="宋体" w:cs="Times New Roman"/>
                <w:bCs/>
              </w:rPr>
              <w:t>根据《建设项目环境风险评价技术导则》（HJ169-2018）的评价工作级别判断可知，Q&lt;1，本项目的环境风险潜势为</w:t>
            </w:r>
            <w:r>
              <w:rPr>
                <w:rFonts w:hint="eastAsia" w:eastAsia="宋体" w:cs="Times New Roman"/>
                <w:bCs/>
              </w:rPr>
              <w:t>I</w:t>
            </w:r>
            <w:r>
              <w:rPr>
                <w:rFonts w:eastAsia="宋体" w:cs="Times New Roman"/>
                <w:bCs/>
              </w:rPr>
              <w:t>，进行简单分析。</w:t>
            </w:r>
          </w:p>
          <w:p>
            <w:pPr>
              <w:ind w:firstLine="482"/>
              <w:jc w:val="left"/>
              <w:rPr>
                <w:rFonts w:eastAsia="宋体" w:cs="Times New Roman"/>
                <w:b/>
                <w:bCs/>
                <w:szCs w:val="24"/>
              </w:rPr>
            </w:pPr>
            <w:r>
              <w:rPr>
                <w:rFonts w:eastAsia="宋体" w:cs="Times New Roman"/>
                <w:b/>
                <w:bCs/>
                <w:szCs w:val="24"/>
              </w:rPr>
              <w:t>（</w:t>
            </w:r>
            <w:r>
              <w:rPr>
                <w:rFonts w:hint="eastAsia" w:eastAsia="宋体" w:cs="Times New Roman"/>
                <w:b/>
                <w:bCs/>
                <w:szCs w:val="24"/>
              </w:rPr>
              <w:t>3</w:t>
            </w:r>
            <w:r>
              <w:rPr>
                <w:rFonts w:eastAsia="宋体" w:cs="Times New Roman"/>
                <w:b/>
                <w:bCs/>
                <w:szCs w:val="24"/>
              </w:rPr>
              <w:t>）环境</w:t>
            </w:r>
            <w:r>
              <w:rPr>
                <w:rFonts w:hint="eastAsia" w:eastAsia="宋体" w:cs="Times New Roman"/>
                <w:b/>
                <w:bCs/>
                <w:szCs w:val="24"/>
              </w:rPr>
              <w:t>风险</w:t>
            </w:r>
            <w:r>
              <w:rPr>
                <w:rFonts w:eastAsia="宋体" w:cs="Times New Roman"/>
                <w:b/>
                <w:bCs/>
                <w:szCs w:val="24"/>
              </w:rPr>
              <w:t>保护目标概况</w:t>
            </w:r>
          </w:p>
          <w:p>
            <w:pPr>
              <w:ind w:firstLine="480"/>
              <w:jc w:val="left"/>
              <w:rPr>
                <w:rFonts w:eastAsia="宋体" w:cs="Times New Roman"/>
                <w:szCs w:val="24"/>
              </w:rPr>
            </w:pPr>
            <w:r>
              <w:rPr>
                <w:rFonts w:eastAsia="宋体" w:cs="Times New Roman"/>
                <w:szCs w:val="24"/>
              </w:rPr>
              <w:t>本项目位于</w:t>
            </w:r>
            <w:r>
              <w:rPr>
                <w:rFonts w:hint="eastAsia" w:eastAsia="宋体" w:cs="Times New Roman"/>
                <w:szCs w:val="24"/>
              </w:rPr>
              <w:t>云南省楚雄州姚安县栋川镇下新屯村委会</w:t>
            </w:r>
            <w:r>
              <w:rPr>
                <w:rFonts w:eastAsia="宋体" w:cs="Times New Roman"/>
                <w:szCs w:val="24"/>
              </w:rPr>
              <w:t>，项目周围无重要文物保护单位、风景名胜区和水源地等环境保护目标。经过调查，</w:t>
            </w:r>
            <w:r>
              <w:rPr>
                <w:rFonts w:hint="eastAsia" w:eastAsia="宋体" w:cs="Times New Roman"/>
                <w:szCs w:val="24"/>
              </w:rPr>
              <w:t>项目四周环境保护目标具体详见表3-1</w:t>
            </w:r>
            <w:r>
              <w:rPr>
                <w:rFonts w:eastAsia="宋体" w:cs="Times New Roman"/>
                <w:szCs w:val="24"/>
              </w:rPr>
              <w:t>。</w:t>
            </w:r>
          </w:p>
          <w:p>
            <w:pPr>
              <w:ind w:firstLine="482"/>
              <w:jc w:val="left"/>
              <w:rPr>
                <w:rFonts w:eastAsia="宋体" w:cs="Times New Roman"/>
                <w:b/>
                <w:bCs/>
                <w:szCs w:val="24"/>
              </w:rPr>
            </w:pPr>
            <w:r>
              <w:rPr>
                <w:rFonts w:hint="eastAsia" w:eastAsia="宋体" w:cs="Times New Roman"/>
                <w:b/>
                <w:bCs/>
                <w:szCs w:val="24"/>
              </w:rPr>
              <w:t>（4）</w:t>
            </w:r>
            <w:r>
              <w:rPr>
                <w:rFonts w:eastAsia="宋体" w:cs="Times New Roman"/>
                <w:b/>
                <w:bCs/>
                <w:szCs w:val="24"/>
              </w:rPr>
              <w:t>风险识别</w:t>
            </w:r>
          </w:p>
          <w:p>
            <w:pPr>
              <w:ind w:firstLine="480"/>
              <w:rPr>
                <w:rFonts w:cs="Times New Roman"/>
                <w:szCs w:val="24"/>
              </w:rPr>
            </w:pPr>
            <w:r>
              <w:rPr>
                <w:rFonts w:cs="Times New Roman"/>
                <w:szCs w:val="24"/>
              </w:rPr>
              <w:t>根据《建设项目环境风险评价技术导则》（HJ169-2018）和《环境风险评价实用技术和方法》规定，风险评价首先要确定建设项目所用原辅材料的毒性、易燃易爆性等危险性级别。项目</w:t>
            </w:r>
            <w:r>
              <w:rPr>
                <w:rFonts w:hint="eastAsia" w:cs="Times New Roman"/>
                <w:szCs w:val="24"/>
              </w:rPr>
              <w:t>储存的风险物质有次氯酸钠、医用酒精、氧气，项目以上</w:t>
            </w:r>
            <w:r>
              <w:rPr>
                <w:rFonts w:cs="Times New Roman"/>
                <w:szCs w:val="24"/>
              </w:rPr>
              <w:t>泄漏</w:t>
            </w:r>
            <w:r>
              <w:rPr>
                <w:rFonts w:hint="eastAsia" w:cs="Times New Roman"/>
                <w:szCs w:val="24"/>
              </w:rPr>
              <w:t>都</w:t>
            </w:r>
            <w:r>
              <w:rPr>
                <w:rFonts w:cs="Times New Roman"/>
                <w:szCs w:val="24"/>
              </w:rPr>
              <w:t>将会对周围环境造成</w:t>
            </w:r>
            <w:r>
              <w:rPr>
                <w:rFonts w:hint="eastAsia" w:cs="Times New Roman"/>
                <w:szCs w:val="24"/>
              </w:rPr>
              <w:t>一定</w:t>
            </w:r>
            <w:r>
              <w:rPr>
                <w:rFonts w:cs="Times New Roman"/>
                <w:szCs w:val="24"/>
              </w:rPr>
              <w:t>影响。主要影响途径为通过大气、地表水和地下水影响环境。</w:t>
            </w:r>
          </w:p>
          <w:p>
            <w:pPr>
              <w:ind w:firstLine="482"/>
              <w:jc w:val="left"/>
              <w:rPr>
                <w:rFonts w:eastAsia="宋体" w:cs="Times New Roman"/>
                <w:b/>
                <w:bCs/>
                <w:szCs w:val="24"/>
              </w:rPr>
            </w:pPr>
            <w:r>
              <w:rPr>
                <w:rFonts w:hint="eastAsia" w:eastAsia="宋体" w:cs="Times New Roman"/>
                <w:b/>
                <w:bCs/>
                <w:szCs w:val="24"/>
              </w:rPr>
              <w:t>（5）环境风险影响途径就危害后果</w:t>
            </w:r>
          </w:p>
          <w:p>
            <w:pPr>
              <w:ind w:firstLine="482"/>
              <w:rPr>
                <w:rFonts w:cs="Times New Roman"/>
                <w:b/>
                <w:bCs/>
                <w:szCs w:val="24"/>
              </w:rPr>
            </w:pPr>
            <w:r>
              <w:rPr>
                <w:rFonts w:hint="eastAsia" w:cs="Times New Roman"/>
                <w:b/>
                <w:bCs/>
                <w:szCs w:val="24"/>
              </w:rPr>
              <w:t xml:space="preserve">① </w:t>
            </w:r>
            <w:r>
              <w:rPr>
                <w:rFonts w:cs="Times New Roman"/>
                <w:b/>
                <w:bCs/>
                <w:szCs w:val="24"/>
              </w:rPr>
              <w:t>对大气环境的影响</w:t>
            </w:r>
            <w:r>
              <w:rPr>
                <w:rFonts w:hint="eastAsia" w:cs="Times New Roman"/>
                <w:b/>
                <w:bCs/>
                <w:szCs w:val="24"/>
              </w:rPr>
              <w:t>：</w:t>
            </w:r>
          </w:p>
          <w:p>
            <w:pPr>
              <w:ind w:firstLine="480"/>
              <w:rPr>
                <w:rFonts w:eastAsia="宋体" w:cs="Times New Roman"/>
                <w:kern w:val="0"/>
                <w:szCs w:val="24"/>
              </w:rPr>
            </w:pPr>
            <w:r>
              <w:rPr>
                <w:rFonts w:hint="eastAsia" w:eastAsia="宋体" w:cs="Times New Roman"/>
                <w:kern w:val="0"/>
                <w:szCs w:val="24"/>
              </w:rPr>
              <w:t>A、</w:t>
            </w:r>
            <w:r>
              <w:rPr>
                <w:rFonts w:eastAsia="宋体" w:cs="Times New Roman"/>
                <w:kern w:val="0"/>
                <w:szCs w:val="24"/>
              </w:rPr>
              <w:t>次氯酸钠泄漏对周围环境的影响主要表现为次氯酸钠</w:t>
            </w:r>
            <w:r>
              <w:rPr>
                <w:rFonts w:hint="eastAsia" w:eastAsia="宋体" w:cs="Times New Roman"/>
                <w:kern w:val="0"/>
                <w:szCs w:val="24"/>
              </w:rPr>
              <w:t>具有一定</w:t>
            </w:r>
            <w:r>
              <w:rPr>
                <w:rFonts w:eastAsia="宋体" w:cs="Times New Roman"/>
                <w:kern w:val="0"/>
                <w:szCs w:val="24"/>
              </w:rPr>
              <w:t>挥发</w:t>
            </w:r>
            <w:r>
              <w:rPr>
                <w:rFonts w:hint="eastAsia" w:eastAsia="宋体" w:cs="Times New Roman"/>
                <w:kern w:val="0"/>
                <w:szCs w:val="24"/>
              </w:rPr>
              <w:t>性</w:t>
            </w:r>
            <w:r>
              <w:rPr>
                <w:rFonts w:eastAsia="宋体" w:cs="Times New Roman"/>
                <w:kern w:val="0"/>
                <w:szCs w:val="24"/>
              </w:rPr>
              <w:t>，</w:t>
            </w:r>
            <w:r>
              <w:rPr>
                <w:rFonts w:eastAsia="宋体" w:cs="Times New Roman"/>
                <w:kern w:val="21"/>
                <w:szCs w:val="24"/>
              </w:rPr>
              <w:t>挥发与空气中的CO</w:t>
            </w:r>
            <w:r>
              <w:rPr>
                <w:rFonts w:eastAsia="宋体" w:cs="Times New Roman"/>
                <w:kern w:val="21"/>
                <w:szCs w:val="24"/>
                <w:vertAlign w:val="subscript"/>
              </w:rPr>
              <w:t>2</w:t>
            </w:r>
            <w:r>
              <w:rPr>
                <w:rFonts w:eastAsia="宋体" w:cs="Times New Roman"/>
                <w:kern w:val="21"/>
                <w:szCs w:val="24"/>
              </w:rPr>
              <w:t>反应生成次氯酸，次氯酸不稳定，见光易分解成HCl和O</w:t>
            </w:r>
            <w:r>
              <w:rPr>
                <w:rFonts w:eastAsia="宋体" w:cs="Times New Roman"/>
                <w:kern w:val="21"/>
                <w:szCs w:val="24"/>
                <w:vertAlign w:val="subscript"/>
              </w:rPr>
              <w:t>2</w:t>
            </w:r>
            <w:r>
              <w:rPr>
                <w:rFonts w:eastAsia="宋体" w:cs="Times New Roman"/>
                <w:kern w:val="21"/>
                <w:szCs w:val="24"/>
              </w:rPr>
              <w:t>，</w:t>
            </w:r>
            <w:r>
              <w:rPr>
                <w:rFonts w:eastAsia="宋体" w:cs="Times New Roman"/>
                <w:kern w:val="0"/>
                <w:szCs w:val="24"/>
              </w:rPr>
              <w:t>对区域环境空气造成污染</w:t>
            </w:r>
            <w:r>
              <w:rPr>
                <w:rFonts w:hint="eastAsia" w:eastAsia="宋体" w:cs="Times New Roman"/>
                <w:kern w:val="0"/>
                <w:szCs w:val="24"/>
              </w:rPr>
              <w:t>，</w:t>
            </w:r>
            <w:r>
              <w:rPr>
                <w:rFonts w:eastAsia="宋体" w:cs="Times New Roman"/>
                <w:kern w:val="0"/>
                <w:szCs w:val="24"/>
              </w:rPr>
              <w:t>本项目次氯酸钠储罐采用</w:t>
            </w:r>
            <w:r>
              <w:rPr>
                <w:rFonts w:eastAsia="宋体" w:cs="Times New Roman"/>
                <w:szCs w:val="24"/>
              </w:rPr>
              <w:t>PVC塑料外缠玻璃钢储罐，符合国家相关规范要求，次氯酸钠</w:t>
            </w:r>
            <w:r>
              <w:rPr>
                <w:rFonts w:eastAsia="宋体" w:cs="Times New Roman"/>
                <w:kern w:val="0"/>
                <w:szCs w:val="24"/>
              </w:rPr>
              <w:t>泄漏主要为物料装卸车以及使用人员操作不当引起的，因此，项目在运营期工作人员应经培训后方可上岗，运营期加强管理，避免风险事故的发生</w:t>
            </w:r>
            <w:r>
              <w:rPr>
                <w:rFonts w:hint="eastAsia" w:eastAsia="宋体" w:cs="Times New Roman"/>
                <w:kern w:val="0"/>
                <w:szCs w:val="24"/>
              </w:rPr>
              <w:t>。</w:t>
            </w:r>
          </w:p>
          <w:p>
            <w:pPr>
              <w:ind w:firstLine="480"/>
              <w:rPr>
                <w:rFonts w:eastAsia="宋体" w:cs="Times New Roman"/>
                <w:szCs w:val="24"/>
              </w:rPr>
            </w:pPr>
            <w:r>
              <w:rPr>
                <w:rFonts w:hint="eastAsia" w:eastAsia="宋体" w:cs="Times New Roman"/>
                <w:szCs w:val="24"/>
              </w:rPr>
              <w:t>B、项目储存酒精、氧气作为医疗救治用品使用，储存量少（酒精规格100mL/瓶），若发生酒精泄漏，影响区域仅储存室（或药剂室），酒精极易挥发，泄漏对大气环境影响较小。</w:t>
            </w:r>
          </w:p>
          <w:p>
            <w:pPr>
              <w:ind w:firstLine="482"/>
              <w:rPr>
                <w:rFonts w:cs="Times New Roman"/>
                <w:b/>
                <w:bCs/>
                <w:szCs w:val="24"/>
              </w:rPr>
            </w:pPr>
            <w:r>
              <w:rPr>
                <w:rFonts w:hint="eastAsia" w:cs="Times New Roman"/>
                <w:b/>
                <w:bCs/>
                <w:szCs w:val="24"/>
              </w:rPr>
              <w:t xml:space="preserve">② </w:t>
            </w:r>
            <w:r>
              <w:rPr>
                <w:rFonts w:cs="Times New Roman"/>
                <w:b/>
                <w:bCs/>
                <w:szCs w:val="24"/>
              </w:rPr>
              <w:t>对地表水环境的影响</w:t>
            </w:r>
            <w:r>
              <w:rPr>
                <w:rFonts w:hint="eastAsia" w:cs="Times New Roman"/>
                <w:b/>
                <w:bCs/>
                <w:szCs w:val="24"/>
              </w:rPr>
              <w:t>：</w:t>
            </w:r>
          </w:p>
          <w:p>
            <w:pPr>
              <w:ind w:firstLine="480"/>
              <w:rPr>
                <w:rFonts w:eastAsia="宋体" w:cs="Times New Roman"/>
                <w:szCs w:val="24"/>
              </w:rPr>
            </w:pPr>
            <w:r>
              <w:rPr>
                <w:rFonts w:eastAsia="宋体" w:cs="Times New Roman"/>
                <w:szCs w:val="24"/>
              </w:rPr>
              <w:t>项目储存有5瓶氧气，氧气瓶容量在40L，在150kg的压力下可以储存6立方米的氧气，即最大储存量为200L（30m</w:t>
            </w:r>
            <w:r>
              <w:rPr>
                <w:rFonts w:eastAsia="宋体" w:cs="Times New Roman"/>
                <w:szCs w:val="24"/>
                <w:vertAlign w:val="superscript"/>
              </w:rPr>
              <w:t>3</w:t>
            </w:r>
            <w:r>
              <w:rPr>
                <w:rFonts w:eastAsia="宋体" w:cs="Times New Roman"/>
                <w:szCs w:val="24"/>
              </w:rPr>
              <w:t>），</w:t>
            </w:r>
            <w:r>
              <w:rPr>
                <w:rFonts w:hint="eastAsia" w:eastAsia="宋体" w:cs="Times New Roman"/>
                <w:szCs w:val="24"/>
              </w:rPr>
              <w:t>氧气具有助燃性，若氧气罐发生泄漏且遇明火，则会引发</w:t>
            </w:r>
            <w:r>
              <w:rPr>
                <w:rFonts w:eastAsia="宋体" w:cs="Times New Roman"/>
                <w:szCs w:val="24"/>
              </w:rPr>
              <w:t>火灾事故</w:t>
            </w:r>
            <w:r>
              <w:rPr>
                <w:rFonts w:hint="eastAsia" w:eastAsia="宋体" w:cs="Times New Roman"/>
                <w:szCs w:val="24"/>
              </w:rPr>
              <w:t>。发生火灾时，项目主要采取</w:t>
            </w:r>
            <w:r>
              <w:rPr>
                <w:rFonts w:eastAsia="宋体" w:cs="Times New Roman"/>
                <w:szCs w:val="24"/>
              </w:rPr>
              <w:t>干粉灭火器</w:t>
            </w:r>
            <w:r>
              <w:rPr>
                <w:rFonts w:hint="eastAsia" w:eastAsia="宋体" w:cs="Times New Roman"/>
                <w:szCs w:val="24"/>
              </w:rPr>
              <w:t>灭火，火灾形势严重时请求外部救援力量</w:t>
            </w:r>
            <w:r>
              <w:rPr>
                <w:rFonts w:eastAsia="宋体" w:cs="Times New Roman"/>
                <w:szCs w:val="24"/>
              </w:rPr>
              <w:t>进行灭火</w:t>
            </w:r>
            <w:r>
              <w:rPr>
                <w:rFonts w:hint="eastAsia" w:eastAsia="宋体" w:cs="Times New Roman"/>
                <w:szCs w:val="24"/>
              </w:rPr>
              <w:t>。小型</w:t>
            </w:r>
            <w:r>
              <w:rPr>
                <w:rFonts w:eastAsia="宋体" w:cs="Times New Roman"/>
                <w:szCs w:val="24"/>
              </w:rPr>
              <w:t>火灾状态下对地表水环境影响很小</w:t>
            </w:r>
            <w:r>
              <w:rPr>
                <w:rFonts w:hint="eastAsia" w:eastAsia="宋体" w:cs="Times New Roman"/>
                <w:szCs w:val="24"/>
              </w:rPr>
              <w:t>；大型火灾救援过程会产生消防废水，可能会有部分废水进入项目区雨水沟，进入蜻岭河，对蜻岭河水体水质造成影响。</w:t>
            </w:r>
          </w:p>
          <w:p>
            <w:pPr>
              <w:ind w:firstLine="482"/>
              <w:rPr>
                <w:rFonts w:cs="Times New Roman"/>
                <w:b/>
                <w:bCs/>
                <w:szCs w:val="24"/>
              </w:rPr>
            </w:pPr>
            <w:r>
              <w:rPr>
                <w:rFonts w:hint="eastAsia" w:cs="Times New Roman"/>
                <w:b/>
                <w:bCs/>
                <w:szCs w:val="24"/>
              </w:rPr>
              <w:t xml:space="preserve">③ </w:t>
            </w:r>
            <w:r>
              <w:rPr>
                <w:rFonts w:cs="Times New Roman"/>
                <w:b/>
                <w:bCs/>
                <w:szCs w:val="24"/>
              </w:rPr>
              <w:t>对地下水的影响</w:t>
            </w:r>
            <w:r>
              <w:rPr>
                <w:rFonts w:hint="eastAsia" w:cs="Times New Roman"/>
                <w:b/>
                <w:bCs/>
                <w:szCs w:val="24"/>
              </w:rPr>
              <w:t>：</w:t>
            </w:r>
          </w:p>
          <w:p>
            <w:pPr>
              <w:ind w:firstLine="480"/>
              <w:rPr>
                <w:rFonts w:cs="Times New Roman"/>
                <w:szCs w:val="24"/>
              </w:rPr>
            </w:pPr>
            <w:r>
              <w:rPr>
                <w:rFonts w:hint="eastAsia" w:cs="Times New Roman"/>
                <w:szCs w:val="24"/>
              </w:rPr>
              <w:t>项目于次氯酸钠储罐下方设置托盘，</w:t>
            </w:r>
            <w:r>
              <w:rPr>
                <w:rFonts w:cs="Times New Roman"/>
                <w:szCs w:val="24"/>
              </w:rPr>
              <w:t>采取以上措施后，运营过程</w:t>
            </w:r>
            <w:r>
              <w:rPr>
                <w:rFonts w:hint="eastAsia" w:cs="Times New Roman"/>
                <w:szCs w:val="24"/>
              </w:rPr>
              <w:t>次氯酸钠</w:t>
            </w:r>
            <w:r>
              <w:rPr>
                <w:rFonts w:cs="Times New Roman"/>
                <w:szCs w:val="24"/>
              </w:rPr>
              <w:t>渗入地下水的可能性很小</w:t>
            </w:r>
            <w:r>
              <w:rPr>
                <w:rFonts w:hint="eastAsia" w:eastAsia="宋体" w:cs="Times New Roman"/>
                <w:szCs w:val="24"/>
              </w:rPr>
              <w:t>。</w:t>
            </w:r>
          </w:p>
          <w:p>
            <w:pPr>
              <w:ind w:firstLine="482"/>
              <w:jc w:val="left"/>
              <w:rPr>
                <w:rFonts w:eastAsia="宋体" w:cs="Times New Roman"/>
                <w:b/>
                <w:bCs/>
                <w:szCs w:val="24"/>
              </w:rPr>
            </w:pPr>
            <w:r>
              <w:rPr>
                <w:rFonts w:hint="eastAsia" w:eastAsia="宋体" w:cs="Times New Roman"/>
                <w:b/>
                <w:bCs/>
                <w:szCs w:val="24"/>
              </w:rPr>
              <w:t>（6）风险防范与应急措施</w:t>
            </w:r>
          </w:p>
          <w:p>
            <w:pPr>
              <w:ind w:firstLine="482"/>
              <w:rPr>
                <w:rFonts w:eastAsia="宋体" w:cs="Times New Roman"/>
                <w:b/>
                <w:bCs/>
                <w:szCs w:val="24"/>
              </w:rPr>
            </w:pPr>
            <w:r>
              <w:rPr>
                <w:rFonts w:eastAsia="宋体" w:cs="Times New Roman"/>
                <w:b/>
                <w:bCs/>
                <w:szCs w:val="24"/>
              </w:rPr>
              <w:t>① 针对火灾爆炸事故</w:t>
            </w:r>
          </w:p>
          <w:p>
            <w:pPr>
              <w:ind w:firstLine="480"/>
              <w:rPr>
                <w:rFonts w:eastAsia="宋体" w:cs="Times New Roman"/>
                <w:szCs w:val="24"/>
              </w:rPr>
            </w:pPr>
            <w:r>
              <w:rPr>
                <w:rFonts w:eastAsia="宋体" w:cs="Times New Roman"/>
                <w:szCs w:val="24"/>
              </w:rPr>
              <w:t>按照相关的规范和消防部门的要求，配备消防器材，在发生火灾时使用CO</w:t>
            </w:r>
            <w:r>
              <w:rPr>
                <w:rFonts w:eastAsia="宋体" w:cs="Times New Roman"/>
                <w:szCs w:val="24"/>
                <w:vertAlign w:val="subscript"/>
              </w:rPr>
              <w:t>2</w:t>
            </w:r>
            <w:r>
              <w:rPr>
                <w:rFonts w:eastAsia="宋体" w:cs="Times New Roman"/>
                <w:szCs w:val="24"/>
              </w:rPr>
              <w:t>干粉灭火器，灭火结束后产生的消防固废属于危险固废，运至项目危废暂存间进行暂存，委托有资质单位清运处置；</w:t>
            </w:r>
          </w:p>
          <w:p>
            <w:pPr>
              <w:ind w:firstLine="480"/>
              <w:rPr>
                <w:rFonts w:eastAsia="宋体" w:cs="Times New Roman"/>
                <w:szCs w:val="24"/>
              </w:rPr>
            </w:pPr>
            <w:r>
              <w:rPr>
                <w:rFonts w:eastAsia="宋体" w:cs="Times New Roman"/>
                <w:szCs w:val="24"/>
              </w:rPr>
              <w:t>在危险品使用过程中，应该严格参照《危险化学品安全管理条例》（ 国务院第 344 号令）要求，需要做好这些化学品的贮存、使用，防止火灾风险事故的发生。</w:t>
            </w:r>
          </w:p>
          <w:p>
            <w:pPr>
              <w:ind w:firstLine="480"/>
              <w:rPr>
                <w:rFonts w:eastAsia="宋体" w:cs="Times New Roman"/>
                <w:szCs w:val="24"/>
              </w:rPr>
            </w:pPr>
            <w:r>
              <w:rPr>
                <w:rFonts w:eastAsia="宋体" w:cs="Times New Roman"/>
                <w:szCs w:val="24"/>
              </w:rPr>
              <w:t>规范管理，加强职工培训</w:t>
            </w:r>
            <w:r>
              <w:rPr>
                <w:rFonts w:hint="eastAsia" w:eastAsia="宋体" w:cs="Times New Roman"/>
                <w:szCs w:val="24"/>
              </w:rPr>
              <w:t>。</w:t>
            </w:r>
            <w:r>
              <w:rPr>
                <w:rFonts w:eastAsia="宋体" w:cs="Times New Roman"/>
                <w:szCs w:val="24"/>
              </w:rPr>
              <w:t>各类事故及非正常生产情况的发生大多数与操作管理不当有直接关系，因此，必须建立健全一整套严格的管理制度。管理制度应在以下几个方面予以关注：</w:t>
            </w:r>
          </w:p>
          <w:p>
            <w:pPr>
              <w:ind w:firstLine="480"/>
              <w:rPr>
                <w:rFonts w:eastAsia="宋体" w:cs="Times New Roman"/>
                <w:szCs w:val="24"/>
              </w:rPr>
            </w:pPr>
            <w:r>
              <w:rPr>
                <w:rFonts w:eastAsia="宋体" w:cs="Times New Roman"/>
                <w:szCs w:val="24"/>
              </w:rPr>
              <w:t>加</w:t>
            </w:r>
            <w:r>
              <w:rPr>
                <w:rFonts w:hint="eastAsia" w:eastAsia="宋体" w:cs="Times New Roman"/>
                <w:szCs w:val="24"/>
              </w:rPr>
              <w:t>风险物质储存设施</w:t>
            </w:r>
            <w:r>
              <w:rPr>
                <w:rFonts w:eastAsia="宋体" w:cs="Times New Roman"/>
                <w:szCs w:val="24"/>
              </w:rPr>
              <w:t>的管理，严格防止跑、冒、滴、漏现象发生。</w:t>
            </w:r>
          </w:p>
          <w:p>
            <w:pPr>
              <w:ind w:firstLine="480"/>
              <w:rPr>
                <w:rFonts w:eastAsia="宋体" w:cs="Times New Roman"/>
                <w:szCs w:val="24"/>
              </w:rPr>
            </w:pPr>
            <w:r>
              <w:rPr>
                <w:rFonts w:eastAsia="宋体" w:cs="Times New Roman"/>
                <w:szCs w:val="24"/>
              </w:rPr>
              <w:t>把每个工作人员在业务上、工作上与消防安全管理上的职责、责任明确起来，层层把关，杜绝事故的发生。</w:t>
            </w:r>
          </w:p>
          <w:p>
            <w:pPr>
              <w:ind w:firstLine="480"/>
              <w:rPr>
                <w:rFonts w:eastAsia="宋体" w:cs="Times New Roman"/>
                <w:szCs w:val="24"/>
              </w:rPr>
            </w:pPr>
            <w:r>
              <w:rPr>
                <w:rFonts w:eastAsia="宋体" w:cs="Times New Roman"/>
                <w:szCs w:val="24"/>
              </w:rPr>
              <w:t>对各类贮存容器、机电装置、安全设施、消防器材等，进行各种日常的、定期的、专业的防火安全检查，并将发现的问题落实到人、限期落实整改。</w:t>
            </w:r>
          </w:p>
          <w:p>
            <w:pPr>
              <w:ind w:firstLine="480"/>
              <w:rPr>
                <w:rFonts w:eastAsia="宋体" w:cs="Times New Roman"/>
                <w:szCs w:val="24"/>
              </w:rPr>
            </w:pPr>
            <w:r>
              <w:rPr>
                <w:rFonts w:eastAsia="宋体" w:cs="Times New Roman"/>
                <w:szCs w:val="24"/>
              </w:rPr>
              <w:t>开展各种形式的安全教育和宣传，增强全员安全意识。加强职工培训， 增强职工的安全意识和相关知识。</w:t>
            </w:r>
          </w:p>
          <w:p>
            <w:pPr>
              <w:ind w:firstLine="482"/>
              <w:rPr>
                <w:rFonts w:eastAsia="宋体" w:cs="Times New Roman"/>
                <w:b/>
                <w:bCs/>
                <w:szCs w:val="24"/>
              </w:rPr>
            </w:pPr>
            <w:r>
              <w:rPr>
                <w:rFonts w:eastAsia="宋体" w:cs="Times New Roman"/>
                <w:b/>
                <w:bCs/>
                <w:szCs w:val="24"/>
              </w:rPr>
              <w:t>②</w:t>
            </w:r>
            <w:r>
              <w:rPr>
                <w:rFonts w:hint="eastAsia" w:eastAsia="宋体" w:cs="Times New Roman"/>
                <w:b/>
                <w:bCs/>
                <w:szCs w:val="24"/>
              </w:rPr>
              <w:t xml:space="preserve"> </w:t>
            </w:r>
            <w:r>
              <w:rPr>
                <w:rFonts w:eastAsia="宋体" w:cs="Times New Roman"/>
                <w:b/>
                <w:bCs/>
                <w:szCs w:val="24"/>
              </w:rPr>
              <w:t>针对溢出、泄漏事故</w:t>
            </w:r>
          </w:p>
          <w:p>
            <w:pPr>
              <w:ind w:firstLine="480"/>
              <w:rPr>
                <w:rFonts w:eastAsia="宋体" w:cs="Times New Roman"/>
                <w:szCs w:val="24"/>
              </w:rPr>
            </w:pPr>
            <w:r>
              <w:rPr>
                <w:rFonts w:eastAsia="宋体" w:cs="Times New Roman"/>
                <w:szCs w:val="24"/>
              </w:rPr>
              <w:t>采用专用</w:t>
            </w:r>
            <w:r>
              <w:rPr>
                <w:rFonts w:hint="eastAsia" w:eastAsia="宋体" w:cs="Times New Roman"/>
                <w:szCs w:val="24"/>
              </w:rPr>
              <w:t>的容器储存风险物质</w:t>
            </w:r>
            <w:r>
              <w:rPr>
                <w:rFonts w:eastAsia="宋体" w:cs="Times New Roman"/>
                <w:szCs w:val="24"/>
              </w:rPr>
              <w:t>；</w:t>
            </w:r>
          </w:p>
          <w:p>
            <w:pPr>
              <w:ind w:firstLine="480"/>
              <w:rPr>
                <w:rFonts w:eastAsia="宋体" w:cs="Times New Roman"/>
                <w:szCs w:val="24"/>
              </w:rPr>
            </w:pPr>
            <w:r>
              <w:rPr>
                <w:rFonts w:eastAsia="宋体" w:cs="Times New Roman"/>
                <w:szCs w:val="24"/>
              </w:rPr>
              <w:t>定期对</w:t>
            </w:r>
            <w:r>
              <w:rPr>
                <w:rFonts w:hint="eastAsia" w:eastAsia="宋体" w:cs="Times New Roman"/>
                <w:szCs w:val="24"/>
              </w:rPr>
              <w:t>风险物质储存容器进行检查，</w:t>
            </w:r>
            <w:r>
              <w:rPr>
                <w:rFonts w:eastAsia="宋体" w:cs="Times New Roman"/>
                <w:szCs w:val="24"/>
              </w:rPr>
              <w:t>避免发生跑、冒、滴、漏现象；</w:t>
            </w:r>
          </w:p>
          <w:p>
            <w:pPr>
              <w:ind w:firstLine="480"/>
              <w:rPr>
                <w:rFonts w:eastAsia="宋体" w:cs="Times New Roman"/>
                <w:szCs w:val="24"/>
              </w:rPr>
            </w:pPr>
            <w:r>
              <w:rPr>
                <w:rFonts w:hint="eastAsia" w:eastAsia="宋体" w:cs="Times New Roman"/>
                <w:szCs w:val="24"/>
              </w:rPr>
              <w:t>液态风险物质</w:t>
            </w:r>
            <w:r>
              <w:rPr>
                <w:rFonts w:eastAsia="宋体" w:cs="Times New Roman"/>
                <w:szCs w:val="24"/>
              </w:rPr>
              <w:t>泄露时，按操作规程及时收集泄露的液体，减少挥发量；</w:t>
            </w:r>
          </w:p>
          <w:p>
            <w:pPr>
              <w:ind w:firstLine="480"/>
              <w:rPr>
                <w:rFonts w:eastAsia="宋体" w:cs="Times New Roman"/>
                <w:szCs w:val="24"/>
              </w:rPr>
            </w:pPr>
            <w:r>
              <w:rPr>
                <w:rFonts w:eastAsia="宋体" w:cs="Times New Roman"/>
                <w:szCs w:val="24"/>
              </w:rPr>
              <w:t>制定</w:t>
            </w:r>
            <w:r>
              <w:rPr>
                <w:rFonts w:hint="eastAsia" w:eastAsia="宋体" w:cs="Times New Roman"/>
                <w:szCs w:val="24"/>
              </w:rPr>
              <w:t>有</w:t>
            </w:r>
            <w:r>
              <w:rPr>
                <w:rFonts w:eastAsia="宋体" w:cs="Times New Roman"/>
                <w:szCs w:val="24"/>
              </w:rPr>
              <w:t>环境污染突发事故应急预案，并组织演练，防患于未然。</w:t>
            </w:r>
          </w:p>
          <w:p>
            <w:pPr>
              <w:ind w:firstLine="480"/>
              <w:rPr>
                <w:rFonts w:eastAsia="宋体" w:cs="Times New Roman"/>
                <w:szCs w:val="24"/>
              </w:rPr>
            </w:pPr>
            <w:r>
              <w:rPr>
                <w:rFonts w:eastAsia="宋体" w:cs="Times New Roman"/>
                <w:szCs w:val="24"/>
              </w:rPr>
              <w:t>应急救援预案的主要内容应包括下表的内容：</w:t>
            </w:r>
          </w:p>
          <w:p>
            <w:pPr>
              <w:ind w:firstLine="0" w:firstLineChars="0"/>
              <w:jc w:val="center"/>
              <w:rPr>
                <w:rFonts w:eastAsia="宋体" w:cs="Times New Roman"/>
                <w:b/>
                <w:bCs/>
                <w:szCs w:val="24"/>
              </w:rPr>
            </w:pPr>
          </w:p>
          <w:p>
            <w:pPr>
              <w:ind w:firstLine="0" w:firstLineChars="0"/>
              <w:jc w:val="center"/>
              <w:rPr>
                <w:rFonts w:eastAsia="宋体" w:cs="Times New Roman"/>
                <w:b/>
                <w:bCs/>
                <w:szCs w:val="24"/>
              </w:rPr>
            </w:pPr>
          </w:p>
          <w:p>
            <w:pPr>
              <w:ind w:firstLine="0" w:firstLineChars="0"/>
              <w:jc w:val="center"/>
              <w:rPr>
                <w:rFonts w:eastAsia="宋体" w:cs="Times New Roman"/>
                <w:b/>
                <w:bCs/>
                <w:szCs w:val="24"/>
              </w:rPr>
            </w:pPr>
            <w:r>
              <w:rPr>
                <w:rFonts w:eastAsia="宋体" w:cs="Times New Roman"/>
                <w:b/>
                <w:bCs/>
                <w:szCs w:val="24"/>
              </w:rPr>
              <w:t>表4-</w:t>
            </w:r>
            <w:r>
              <w:rPr>
                <w:rFonts w:hint="eastAsia" w:eastAsia="宋体" w:cs="Times New Roman"/>
                <w:b/>
                <w:bCs/>
                <w:szCs w:val="24"/>
              </w:rPr>
              <w:t>20</w:t>
            </w:r>
            <w:r>
              <w:rPr>
                <w:rFonts w:eastAsia="宋体" w:cs="Times New Roman"/>
                <w:b/>
                <w:bCs/>
                <w:szCs w:val="24"/>
              </w:rPr>
              <w:t xml:space="preserve">  应急预案内容</w:t>
            </w:r>
          </w:p>
          <w:tbl>
            <w:tblPr>
              <w:tblStyle w:val="36"/>
              <w:tblW w:w="83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8"/>
              <w:gridCol w:w="2355"/>
              <w:gridCol w:w="52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宋体" w:cs="Times New Roman"/>
                      <w:b/>
                      <w:bCs/>
                      <w:sz w:val="21"/>
                      <w:szCs w:val="21"/>
                    </w:rPr>
                  </w:pPr>
                  <w:r>
                    <w:rPr>
                      <w:rFonts w:eastAsia="宋体" w:cs="Times New Roman"/>
                      <w:b/>
                      <w:bCs/>
                      <w:sz w:val="21"/>
                      <w:szCs w:val="21"/>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宋体" w:cs="Times New Roman"/>
                      <w:b/>
                      <w:bCs/>
                      <w:sz w:val="21"/>
                      <w:szCs w:val="21"/>
                    </w:rPr>
                  </w:pPr>
                  <w:r>
                    <w:rPr>
                      <w:rFonts w:eastAsia="宋体" w:cs="Times New Roman"/>
                      <w:b/>
                      <w:bCs/>
                      <w:sz w:val="21"/>
                      <w:szCs w:val="21"/>
                    </w:rPr>
                    <w:t>项目</w:t>
                  </w:r>
                </w:p>
              </w:tc>
              <w:tc>
                <w:tcPr>
                  <w:tcW w:w="5274" w:type="dxa"/>
                  <w:tcBorders>
                    <w:top w:val="single" w:color="auto" w:sz="4" w:space="0"/>
                    <w:left w:val="single" w:color="auto" w:sz="4" w:space="0"/>
                    <w:bottom w:val="single" w:color="auto" w:sz="4" w:space="0"/>
                    <w:right w:val="single" w:color="000000" w:sz="8" w:space="0"/>
                  </w:tcBorders>
                  <w:vAlign w:val="center"/>
                </w:tcPr>
                <w:p>
                  <w:pPr>
                    <w:spacing w:line="240" w:lineRule="auto"/>
                    <w:ind w:firstLine="0" w:firstLineChars="0"/>
                    <w:jc w:val="center"/>
                    <w:rPr>
                      <w:rFonts w:eastAsia="宋体" w:cs="Times New Roman"/>
                      <w:b/>
                      <w:bCs/>
                      <w:sz w:val="21"/>
                      <w:szCs w:val="21"/>
                    </w:rPr>
                  </w:pPr>
                  <w:r>
                    <w:rPr>
                      <w:rFonts w:eastAsia="宋体" w:cs="Times New Roman"/>
                      <w:b/>
                      <w:bCs/>
                      <w:sz w:val="21"/>
                      <w:szCs w:val="21"/>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宋体" w:cs="Times New Roman"/>
                      <w:sz w:val="21"/>
                      <w:szCs w:val="21"/>
                    </w:rPr>
                  </w:pPr>
                  <w:r>
                    <w:rPr>
                      <w:rFonts w:eastAsia="宋体" w:cs="Times New Roman"/>
                      <w:sz w:val="21"/>
                      <w:szCs w:val="21"/>
                    </w:rPr>
                    <w:t>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宋体" w:cs="Times New Roman"/>
                      <w:sz w:val="21"/>
                      <w:szCs w:val="21"/>
                    </w:rPr>
                  </w:pPr>
                  <w:r>
                    <w:rPr>
                      <w:rFonts w:eastAsia="宋体" w:cs="Times New Roman"/>
                      <w:sz w:val="21"/>
                      <w:szCs w:val="21"/>
                    </w:rPr>
                    <w:t>应急计划区</w:t>
                  </w:r>
                </w:p>
              </w:tc>
              <w:tc>
                <w:tcPr>
                  <w:tcW w:w="5274" w:type="dxa"/>
                  <w:tcBorders>
                    <w:top w:val="single" w:color="auto" w:sz="4" w:space="0"/>
                    <w:left w:val="single" w:color="auto" w:sz="4" w:space="0"/>
                    <w:bottom w:val="single" w:color="auto" w:sz="4" w:space="0"/>
                    <w:right w:val="single" w:color="000000" w:sz="8" w:space="0"/>
                  </w:tcBorders>
                  <w:vAlign w:val="center"/>
                </w:tcPr>
                <w:p>
                  <w:pPr>
                    <w:spacing w:line="240" w:lineRule="auto"/>
                    <w:ind w:firstLine="0" w:firstLineChars="0"/>
                    <w:jc w:val="left"/>
                    <w:rPr>
                      <w:rFonts w:eastAsia="宋体" w:cs="Times New Roman"/>
                      <w:sz w:val="21"/>
                      <w:szCs w:val="21"/>
                    </w:rPr>
                  </w:pPr>
                  <w:r>
                    <w:rPr>
                      <w:rFonts w:eastAsia="宋体" w:cs="Times New Roman"/>
                      <w:sz w:val="21"/>
                      <w:szCs w:val="21"/>
                    </w:rPr>
                    <w:t>危险目标：</w:t>
                  </w:r>
                  <w:r>
                    <w:rPr>
                      <w:rFonts w:hint="eastAsia" w:eastAsia="宋体" w:cs="Times New Roman"/>
                      <w:sz w:val="21"/>
                      <w:szCs w:val="21"/>
                    </w:rPr>
                    <w:t>储存间、药剂室</w:t>
                  </w:r>
                  <w:r>
                    <w:rPr>
                      <w:rFonts w:eastAsia="宋体" w:cs="Times New Roman"/>
                      <w:sz w:val="21"/>
                      <w:szCs w:val="21"/>
                    </w:rPr>
                    <w:t>、次氯酸钠储存罐</w:t>
                  </w:r>
                  <w:r>
                    <w:rPr>
                      <w:rFonts w:hint="eastAsia"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宋体" w:cs="Times New Roman"/>
                      <w:sz w:val="21"/>
                      <w:szCs w:val="21"/>
                    </w:rPr>
                  </w:pPr>
                  <w:r>
                    <w:rPr>
                      <w:rFonts w:eastAsia="宋体" w:cs="Times New Roman"/>
                      <w:sz w:val="21"/>
                      <w:szCs w:val="21"/>
                    </w:rPr>
                    <w:t>2</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宋体" w:cs="Times New Roman"/>
                      <w:sz w:val="21"/>
                      <w:szCs w:val="21"/>
                    </w:rPr>
                  </w:pPr>
                  <w:r>
                    <w:rPr>
                      <w:rFonts w:eastAsia="宋体" w:cs="Times New Roman"/>
                      <w:sz w:val="21"/>
                      <w:szCs w:val="21"/>
                    </w:rPr>
                    <w:t>应急组织机构、人员</w:t>
                  </w:r>
                </w:p>
              </w:tc>
              <w:tc>
                <w:tcPr>
                  <w:tcW w:w="5274" w:type="dxa"/>
                  <w:tcBorders>
                    <w:top w:val="single" w:color="auto" w:sz="4" w:space="0"/>
                    <w:left w:val="single" w:color="auto" w:sz="4" w:space="0"/>
                    <w:bottom w:val="single" w:color="auto" w:sz="4" w:space="0"/>
                    <w:right w:val="single" w:color="000000" w:sz="8" w:space="0"/>
                  </w:tcBorders>
                  <w:vAlign w:val="center"/>
                </w:tcPr>
                <w:p>
                  <w:pPr>
                    <w:spacing w:line="240" w:lineRule="auto"/>
                    <w:ind w:firstLine="0" w:firstLineChars="0"/>
                    <w:jc w:val="left"/>
                    <w:rPr>
                      <w:rFonts w:eastAsia="宋体" w:cs="Times New Roman"/>
                      <w:sz w:val="21"/>
                      <w:szCs w:val="21"/>
                    </w:rPr>
                  </w:pPr>
                  <w:r>
                    <w:rPr>
                      <w:rFonts w:eastAsia="宋体" w:cs="Times New Roman"/>
                      <w:sz w:val="21"/>
                      <w:szCs w:val="21"/>
                    </w:rPr>
                    <w:t>项目、地区应急组织机构、人员</w:t>
                  </w:r>
                  <w:r>
                    <w:rPr>
                      <w:rFonts w:hint="eastAsia"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宋体" w:cs="Times New Roman"/>
                      <w:sz w:val="21"/>
                      <w:szCs w:val="21"/>
                    </w:rPr>
                  </w:pPr>
                  <w:r>
                    <w:rPr>
                      <w:rFonts w:eastAsia="宋体" w:cs="Times New Roman"/>
                      <w:sz w:val="21"/>
                      <w:szCs w:val="21"/>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宋体" w:cs="Times New Roman"/>
                      <w:sz w:val="21"/>
                      <w:szCs w:val="21"/>
                    </w:rPr>
                  </w:pPr>
                  <w:r>
                    <w:rPr>
                      <w:rFonts w:eastAsia="宋体" w:cs="Times New Roman"/>
                      <w:sz w:val="21"/>
                      <w:szCs w:val="21"/>
                    </w:rPr>
                    <w:t>预案分级响应条件</w:t>
                  </w:r>
                </w:p>
              </w:tc>
              <w:tc>
                <w:tcPr>
                  <w:tcW w:w="5274" w:type="dxa"/>
                  <w:tcBorders>
                    <w:top w:val="single" w:color="auto" w:sz="4" w:space="0"/>
                    <w:left w:val="single" w:color="auto" w:sz="4" w:space="0"/>
                    <w:bottom w:val="single" w:color="auto" w:sz="4" w:space="0"/>
                    <w:right w:val="single" w:color="000000" w:sz="8" w:space="0"/>
                  </w:tcBorders>
                  <w:vAlign w:val="center"/>
                </w:tcPr>
                <w:p>
                  <w:pPr>
                    <w:spacing w:line="240" w:lineRule="auto"/>
                    <w:ind w:firstLine="0" w:firstLineChars="0"/>
                    <w:jc w:val="left"/>
                    <w:rPr>
                      <w:rFonts w:eastAsia="宋体" w:cs="Times New Roman"/>
                      <w:sz w:val="21"/>
                      <w:szCs w:val="21"/>
                    </w:rPr>
                  </w:pPr>
                  <w:r>
                    <w:rPr>
                      <w:rFonts w:eastAsia="宋体" w:cs="Times New Roman"/>
                      <w:sz w:val="21"/>
                      <w:szCs w:val="21"/>
                    </w:rPr>
                    <w:t>规定预案的级别及分级响应程序</w:t>
                  </w:r>
                  <w:r>
                    <w:rPr>
                      <w:rFonts w:hint="eastAsia"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宋体" w:cs="Times New Roman"/>
                      <w:sz w:val="21"/>
                      <w:szCs w:val="21"/>
                    </w:rPr>
                  </w:pPr>
                  <w:r>
                    <w:rPr>
                      <w:rFonts w:eastAsia="宋体" w:cs="Times New Roman"/>
                      <w:sz w:val="21"/>
                      <w:szCs w:val="21"/>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宋体" w:cs="Times New Roman"/>
                      <w:sz w:val="21"/>
                      <w:szCs w:val="21"/>
                    </w:rPr>
                  </w:pPr>
                  <w:r>
                    <w:rPr>
                      <w:rFonts w:eastAsia="宋体" w:cs="Times New Roman"/>
                      <w:sz w:val="21"/>
                      <w:szCs w:val="21"/>
                    </w:rPr>
                    <w:t>应急救援保障</w:t>
                  </w:r>
                </w:p>
              </w:tc>
              <w:tc>
                <w:tcPr>
                  <w:tcW w:w="5274" w:type="dxa"/>
                  <w:tcBorders>
                    <w:top w:val="single" w:color="auto" w:sz="4" w:space="0"/>
                    <w:left w:val="single" w:color="auto" w:sz="4" w:space="0"/>
                    <w:bottom w:val="single" w:color="auto" w:sz="4" w:space="0"/>
                    <w:right w:val="single" w:color="000000" w:sz="8" w:space="0"/>
                  </w:tcBorders>
                  <w:vAlign w:val="center"/>
                </w:tcPr>
                <w:p>
                  <w:pPr>
                    <w:spacing w:line="240" w:lineRule="auto"/>
                    <w:ind w:firstLine="0" w:firstLineChars="0"/>
                    <w:jc w:val="left"/>
                    <w:rPr>
                      <w:rFonts w:eastAsia="宋体" w:cs="Times New Roman"/>
                      <w:sz w:val="21"/>
                      <w:szCs w:val="21"/>
                    </w:rPr>
                  </w:pPr>
                  <w:r>
                    <w:rPr>
                      <w:rFonts w:eastAsia="宋体" w:cs="Times New Roman"/>
                      <w:sz w:val="21"/>
                      <w:szCs w:val="21"/>
                    </w:rPr>
                    <w:t>应急设施，设备与器材等</w:t>
                  </w:r>
                  <w:r>
                    <w:rPr>
                      <w:rFonts w:hint="eastAsia"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宋体" w:cs="Times New Roman"/>
                      <w:sz w:val="21"/>
                      <w:szCs w:val="21"/>
                    </w:rPr>
                  </w:pPr>
                  <w:r>
                    <w:rPr>
                      <w:rFonts w:eastAsia="宋体" w:cs="Times New Roman"/>
                      <w:sz w:val="21"/>
                      <w:szCs w:val="21"/>
                    </w:rPr>
                    <w:t>5</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宋体" w:cs="Times New Roman"/>
                      <w:sz w:val="21"/>
                      <w:szCs w:val="21"/>
                    </w:rPr>
                  </w:pPr>
                  <w:r>
                    <w:rPr>
                      <w:rFonts w:eastAsia="宋体" w:cs="Times New Roman"/>
                      <w:sz w:val="21"/>
                      <w:szCs w:val="21"/>
                    </w:rPr>
                    <w:t>报警、通讯联络方式</w:t>
                  </w:r>
                </w:p>
              </w:tc>
              <w:tc>
                <w:tcPr>
                  <w:tcW w:w="5274" w:type="dxa"/>
                  <w:tcBorders>
                    <w:top w:val="single" w:color="auto" w:sz="4" w:space="0"/>
                    <w:left w:val="single" w:color="auto" w:sz="4" w:space="0"/>
                    <w:bottom w:val="single" w:color="auto" w:sz="4" w:space="0"/>
                    <w:right w:val="single" w:color="000000" w:sz="8" w:space="0"/>
                  </w:tcBorders>
                  <w:vAlign w:val="center"/>
                </w:tcPr>
                <w:p>
                  <w:pPr>
                    <w:spacing w:line="240" w:lineRule="auto"/>
                    <w:ind w:firstLine="0" w:firstLineChars="0"/>
                    <w:jc w:val="left"/>
                    <w:rPr>
                      <w:rFonts w:eastAsia="宋体" w:cs="Times New Roman"/>
                      <w:sz w:val="21"/>
                      <w:szCs w:val="21"/>
                    </w:rPr>
                  </w:pPr>
                  <w:r>
                    <w:rPr>
                      <w:rFonts w:eastAsia="宋体" w:cs="Times New Roman"/>
                      <w:sz w:val="21"/>
                      <w:szCs w:val="21"/>
                    </w:rPr>
                    <w:t>规定应急状态下的报警通讯方式、通知方式和交通保障、管制</w:t>
                  </w:r>
                  <w:r>
                    <w:rPr>
                      <w:rFonts w:hint="eastAsia"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宋体" w:cs="Times New Roman"/>
                      <w:sz w:val="21"/>
                      <w:szCs w:val="21"/>
                    </w:rPr>
                  </w:pPr>
                  <w:r>
                    <w:rPr>
                      <w:rFonts w:eastAsia="宋体" w:cs="Times New Roman"/>
                      <w:sz w:val="21"/>
                      <w:szCs w:val="21"/>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宋体" w:cs="Times New Roman"/>
                      <w:sz w:val="21"/>
                      <w:szCs w:val="21"/>
                    </w:rPr>
                  </w:pPr>
                  <w:r>
                    <w:rPr>
                      <w:rFonts w:eastAsia="宋体" w:cs="Times New Roman"/>
                      <w:sz w:val="21"/>
                      <w:szCs w:val="21"/>
                    </w:rPr>
                    <w:t>应急环境监测、抢险、救援及控制措施</w:t>
                  </w:r>
                </w:p>
              </w:tc>
              <w:tc>
                <w:tcPr>
                  <w:tcW w:w="5274" w:type="dxa"/>
                  <w:tcBorders>
                    <w:top w:val="single" w:color="auto" w:sz="4" w:space="0"/>
                    <w:left w:val="single" w:color="auto" w:sz="4" w:space="0"/>
                    <w:bottom w:val="single" w:color="auto" w:sz="4" w:space="0"/>
                    <w:right w:val="single" w:color="000000" w:sz="8" w:space="0"/>
                  </w:tcBorders>
                  <w:vAlign w:val="center"/>
                </w:tcPr>
                <w:p>
                  <w:pPr>
                    <w:spacing w:line="240" w:lineRule="auto"/>
                    <w:ind w:firstLine="0" w:firstLineChars="0"/>
                    <w:jc w:val="left"/>
                    <w:rPr>
                      <w:rFonts w:eastAsia="宋体" w:cs="Times New Roman"/>
                      <w:sz w:val="21"/>
                      <w:szCs w:val="21"/>
                    </w:rPr>
                  </w:pPr>
                  <w:r>
                    <w:rPr>
                      <w:rFonts w:eastAsia="宋体" w:cs="Times New Roman"/>
                      <w:sz w:val="21"/>
                      <w:szCs w:val="21"/>
                    </w:rPr>
                    <w:t>由专业队伍负责对事故现场进行侦察监测，对事故性质、参数与后果进行评估，为指挥部门提供决策依据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宋体" w:cs="Times New Roman"/>
                      <w:sz w:val="21"/>
                      <w:szCs w:val="21"/>
                    </w:rPr>
                  </w:pPr>
                  <w:r>
                    <w:rPr>
                      <w:rFonts w:eastAsia="宋体" w:cs="Times New Roman"/>
                      <w:sz w:val="21"/>
                      <w:szCs w:val="21"/>
                    </w:rPr>
                    <w:t>7</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宋体" w:cs="Times New Roman"/>
                      <w:sz w:val="21"/>
                      <w:szCs w:val="21"/>
                    </w:rPr>
                  </w:pPr>
                  <w:r>
                    <w:rPr>
                      <w:rFonts w:eastAsia="宋体" w:cs="Times New Roman"/>
                      <w:sz w:val="21"/>
                      <w:szCs w:val="21"/>
                    </w:rPr>
                    <w:t>应急检测、防护措施、清除泄漏措施和器材</w:t>
                  </w:r>
                </w:p>
              </w:tc>
              <w:tc>
                <w:tcPr>
                  <w:tcW w:w="5274" w:type="dxa"/>
                  <w:tcBorders>
                    <w:top w:val="single" w:color="auto" w:sz="4" w:space="0"/>
                    <w:left w:val="single" w:color="auto" w:sz="4" w:space="0"/>
                    <w:bottom w:val="single" w:color="auto" w:sz="4" w:space="0"/>
                    <w:right w:val="single" w:color="000000" w:sz="8" w:space="0"/>
                  </w:tcBorders>
                  <w:vAlign w:val="center"/>
                </w:tcPr>
                <w:p>
                  <w:pPr>
                    <w:spacing w:line="240" w:lineRule="auto"/>
                    <w:ind w:firstLine="0" w:firstLineChars="0"/>
                    <w:jc w:val="left"/>
                    <w:rPr>
                      <w:rFonts w:eastAsia="宋体" w:cs="Times New Roman"/>
                      <w:sz w:val="21"/>
                      <w:szCs w:val="21"/>
                    </w:rPr>
                  </w:pPr>
                  <w:r>
                    <w:rPr>
                      <w:rFonts w:eastAsia="宋体" w:cs="Times New Roman"/>
                      <w:sz w:val="21"/>
                      <w:szCs w:val="21"/>
                    </w:rPr>
                    <w:t>事故现场、邻近区域、控制防火区域，控制和清除污染措施及相应设备</w:t>
                  </w:r>
                  <w:r>
                    <w:rPr>
                      <w:rFonts w:hint="eastAsia"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宋体" w:cs="Times New Roman"/>
                      <w:sz w:val="21"/>
                      <w:szCs w:val="21"/>
                    </w:rPr>
                  </w:pPr>
                  <w:r>
                    <w:rPr>
                      <w:rFonts w:eastAsia="宋体" w:cs="Times New Roman"/>
                      <w:sz w:val="21"/>
                      <w:szCs w:val="21"/>
                    </w:rPr>
                    <w:t>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宋体" w:cs="Times New Roman"/>
                      <w:sz w:val="21"/>
                      <w:szCs w:val="21"/>
                    </w:rPr>
                  </w:pPr>
                  <w:r>
                    <w:rPr>
                      <w:rFonts w:eastAsia="宋体" w:cs="Times New Roman"/>
                      <w:sz w:val="21"/>
                      <w:szCs w:val="21"/>
                    </w:rPr>
                    <w:t>人员紧急撤离、疏散，应急剂量控制、撤离组织计划</w:t>
                  </w:r>
                </w:p>
              </w:tc>
              <w:tc>
                <w:tcPr>
                  <w:tcW w:w="5274" w:type="dxa"/>
                  <w:tcBorders>
                    <w:top w:val="single" w:color="auto" w:sz="4" w:space="0"/>
                    <w:left w:val="single" w:color="auto" w:sz="4" w:space="0"/>
                    <w:bottom w:val="single" w:color="auto" w:sz="4" w:space="0"/>
                    <w:right w:val="single" w:color="000000" w:sz="8" w:space="0"/>
                  </w:tcBorders>
                  <w:vAlign w:val="center"/>
                </w:tcPr>
                <w:p>
                  <w:pPr>
                    <w:spacing w:line="240" w:lineRule="auto"/>
                    <w:ind w:firstLine="0" w:firstLineChars="0"/>
                    <w:jc w:val="left"/>
                    <w:rPr>
                      <w:rFonts w:eastAsia="宋体" w:cs="Times New Roman"/>
                      <w:sz w:val="21"/>
                      <w:szCs w:val="21"/>
                    </w:rPr>
                  </w:pPr>
                  <w:r>
                    <w:rPr>
                      <w:rFonts w:eastAsia="宋体" w:cs="Times New Roman"/>
                      <w:sz w:val="21"/>
                      <w:szCs w:val="21"/>
                    </w:rPr>
                    <w:t>事故现场、受事故影响的区域人员及公众对毒物应急剂量控制规定，撤离组织计划及救护，医疗救护与公众健康</w:t>
                  </w:r>
                  <w:r>
                    <w:rPr>
                      <w:rFonts w:hint="eastAsia"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宋体" w:cs="Times New Roman"/>
                      <w:sz w:val="21"/>
                      <w:szCs w:val="21"/>
                    </w:rPr>
                  </w:pPr>
                  <w:r>
                    <w:rPr>
                      <w:rFonts w:eastAsia="宋体" w:cs="Times New Roman"/>
                      <w:sz w:val="21"/>
                      <w:szCs w:val="21"/>
                    </w:rPr>
                    <w:t>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宋体" w:cs="Times New Roman"/>
                      <w:sz w:val="21"/>
                      <w:szCs w:val="21"/>
                    </w:rPr>
                  </w:pPr>
                  <w:r>
                    <w:rPr>
                      <w:rFonts w:eastAsia="宋体" w:cs="Times New Roman"/>
                      <w:sz w:val="21"/>
                      <w:szCs w:val="21"/>
                    </w:rPr>
                    <w:t>事故应急救援关闭程序与恢复措施</w:t>
                  </w:r>
                </w:p>
              </w:tc>
              <w:tc>
                <w:tcPr>
                  <w:tcW w:w="5274" w:type="dxa"/>
                  <w:tcBorders>
                    <w:top w:val="single" w:color="auto" w:sz="4" w:space="0"/>
                    <w:left w:val="single" w:color="auto" w:sz="4" w:space="0"/>
                    <w:bottom w:val="single" w:color="auto" w:sz="4" w:space="0"/>
                    <w:right w:val="single" w:color="000000" w:sz="8" w:space="0"/>
                  </w:tcBorders>
                  <w:vAlign w:val="center"/>
                </w:tcPr>
                <w:p>
                  <w:pPr>
                    <w:spacing w:line="240" w:lineRule="auto"/>
                    <w:ind w:firstLine="0" w:firstLineChars="0"/>
                    <w:jc w:val="left"/>
                    <w:rPr>
                      <w:rFonts w:eastAsia="宋体" w:cs="Times New Roman"/>
                      <w:sz w:val="21"/>
                      <w:szCs w:val="21"/>
                    </w:rPr>
                  </w:pPr>
                  <w:r>
                    <w:rPr>
                      <w:rFonts w:eastAsia="宋体" w:cs="Times New Roman"/>
                      <w:sz w:val="21"/>
                      <w:szCs w:val="21"/>
                    </w:rPr>
                    <w:t>规定应急状态终止程序事故现场善后处理，恢复措施邻近区域解除事故警戒及善后恢复措施</w:t>
                  </w:r>
                  <w:r>
                    <w:rPr>
                      <w:rFonts w:hint="eastAsia"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宋体" w:cs="Times New Roman"/>
                      <w:sz w:val="21"/>
                      <w:szCs w:val="21"/>
                    </w:rPr>
                  </w:pPr>
                  <w:r>
                    <w:rPr>
                      <w:rFonts w:eastAsia="宋体" w:cs="Times New Roman"/>
                      <w:sz w:val="21"/>
                      <w:szCs w:val="21"/>
                    </w:rPr>
                    <w:t>10</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宋体" w:cs="Times New Roman"/>
                      <w:sz w:val="21"/>
                      <w:szCs w:val="21"/>
                    </w:rPr>
                  </w:pPr>
                  <w:r>
                    <w:rPr>
                      <w:rFonts w:eastAsia="宋体" w:cs="Times New Roman"/>
                      <w:sz w:val="21"/>
                      <w:szCs w:val="21"/>
                    </w:rPr>
                    <w:t>应急培训计划</w:t>
                  </w:r>
                </w:p>
              </w:tc>
              <w:tc>
                <w:tcPr>
                  <w:tcW w:w="5274" w:type="dxa"/>
                  <w:tcBorders>
                    <w:top w:val="single" w:color="auto" w:sz="4" w:space="0"/>
                    <w:left w:val="single" w:color="auto" w:sz="4" w:space="0"/>
                    <w:bottom w:val="single" w:color="auto" w:sz="4" w:space="0"/>
                    <w:right w:val="single" w:color="000000" w:sz="8" w:space="0"/>
                  </w:tcBorders>
                  <w:vAlign w:val="center"/>
                </w:tcPr>
                <w:p>
                  <w:pPr>
                    <w:spacing w:line="240" w:lineRule="auto"/>
                    <w:ind w:firstLine="0" w:firstLineChars="0"/>
                    <w:jc w:val="left"/>
                    <w:rPr>
                      <w:rFonts w:eastAsia="宋体" w:cs="Times New Roman"/>
                      <w:sz w:val="21"/>
                      <w:szCs w:val="21"/>
                    </w:rPr>
                  </w:pPr>
                  <w:r>
                    <w:rPr>
                      <w:rFonts w:eastAsia="宋体" w:cs="Times New Roman"/>
                      <w:sz w:val="21"/>
                      <w:szCs w:val="21"/>
                    </w:rPr>
                    <w:t>应急计划制定后，平时安排人员培训与演练</w:t>
                  </w:r>
                  <w:r>
                    <w:rPr>
                      <w:rFonts w:hint="eastAsia"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宋体" w:cs="Times New Roman"/>
                      <w:sz w:val="21"/>
                      <w:szCs w:val="21"/>
                    </w:rPr>
                  </w:pPr>
                  <w:r>
                    <w:rPr>
                      <w:rFonts w:eastAsia="宋体" w:cs="Times New Roman"/>
                      <w:sz w:val="21"/>
                      <w:szCs w:val="21"/>
                    </w:rPr>
                    <w:t>11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宋体" w:cs="Times New Roman"/>
                      <w:sz w:val="21"/>
                      <w:szCs w:val="21"/>
                    </w:rPr>
                  </w:pPr>
                  <w:r>
                    <w:rPr>
                      <w:rFonts w:eastAsia="宋体" w:cs="Times New Roman"/>
                      <w:sz w:val="21"/>
                      <w:szCs w:val="21"/>
                    </w:rPr>
                    <w:t>公众教育和信息</w:t>
                  </w:r>
                </w:p>
              </w:tc>
              <w:tc>
                <w:tcPr>
                  <w:tcW w:w="5274" w:type="dxa"/>
                  <w:tcBorders>
                    <w:top w:val="single" w:color="auto" w:sz="4" w:space="0"/>
                    <w:left w:val="single" w:color="auto" w:sz="4" w:space="0"/>
                    <w:bottom w:val="single" w:color="auto" w:sz="4" w:space="0"/>
                    <w:right w:val="single" w:color="000000" w:sz="8" w:space="0"/>
                  </w:tcBorders>
                  <w:vAlign w:val="center"/>
                </w:tcPr>
                <w:p>
                  <w:pPr>
                    <w:spacing w:line="240" w:lineRule="auto"/>
                    <w:ind w:firstLine="0" w:firstLineChars="0"/>
                    <w:jc w:val="left"/>
                    <w:rPr>
                      <w:rFonts w:eastAsia="宋体" w:cs="Times New Roman"/>
                      <w:sz w:val="21"/>
                      <w:szCs w:val="21"/>
                    </w:rPr>
                  </w:pPr>
                  <w:r>
                    <w:rPr>
                      <w:rFonts w:eastAsia="宋体" w:cs="Times New Roman"/>
                      <w:sz w:val="21"/>
                      <w:szCs w:val="21"/>
                    </w:rPr>
                    <w:t>对项目邻近地区开展公众教育、培训和发布有关信息</w:t>
                  </w:r>
                  <w:r>
                    <w:rPr>
                      <w:rFonts w:hint="eastAsia" w:eastAsia="宋体" w:cs="Times New Roman"/>
                      <w:sz w:val="21"/>
                      <w:szCs w:val="21"/>
                    </w:rPr>
                    <w:t>。</w:t>
                  </w:r>
                </w:p>
              </w:tc>
            </w:tr>
          </w:tbl>
          <w:p>
            <w:pPr>
              <w:ind w:firstLine="482"/>
              <w:jc w:val="left"/>
              <w:rPr>
                <w:rFonts w:eastAsia="宋体" w:cs="Times New Roman"/>
                <w:b/>
                <w:bCs/>
                <w:szCs w:val="24"/>
              </w:rPr>
            </w:pPr>
          </w:p>
          <w:p>
            <w:pPr>
              <w:ind w:firstLine="482"/>
              <w:jc w:val="left"/>
              <w:rPr>
                <w:rFonts w:eastAsia="宋体" w:cs="Times New Roman"/>
                <w:b/>
                <w:bCs/>
                <w:szCs w:val="24"/>
              </w:rPr>
            </w:pPr>
            <w:r>
              <w:rPr>
                <w:rFonts w:hint="eastAsia" w:eastAsia="宋体" w:cs="Times New Roman"/>
                <w:b/>
                <w:bCs/>
                <w:szCs w:val="24"/>
              </w:rPr>
              <w:t>（7）</w:t>
            </w:r>
            <w:r>
              <w:rPr>
                <w:rFonts w:eastAsia="宋体" w:cs="Times New Roman"/>
                <w:b/>
                <w:bCs/>
                <w:szCs w:val="24"/>
              </w:rPr>
              <w:t>风险评价结论</w:t>
            </w:r>
          </w:p>
          <w:p>
            <w:pPr>
              <w:ind w:firstLine="480"/>
              <w:rPr>
                <w:rFonts w:eastAsia="宋体" w:cs="Times New Roman"/>
                <w:szCs w:val="24"/>
              </w:rPr>
            </w:pPr>
            <w:r>
              <w:rPr>
                <w:rFonts w:eastAsia="宋体" w:cs="Times New Roman"/>
                <w:szCs w:val="24"/>
              </w:rPr>
              <w:t>本项目的建设，不可避免会存在一定的环境风险，对此，建设单位必须高度重视，做到风险防范警钟长鸣，环境安全管理常抓不懈；严格落实各项风险防范措施，不断完善风险管理体系。只有这样，才能有效降低风险事故发生概率、杜绝特大事故的发生隐患。因此，只要严格遵守各项安全操作规程和制度，加强安全管理，本项目的环境风险是可以接受的。</w:t>
            </w:r>
          </w:p>
          <w:p>
            <w:pPr>
              <w:ind w:firstLine="480"/>
              <w:rPr>
                <w:rFonts w:eastAsia="宋体" w:cs="Times New Roman"/>
                <w:szCs w:val="24"/>
              </w:rPr>
            </w:pPr>
            <w:r>
              <w:rPr>
                <w:rFonts w:eastAsia="宋体" w:cs="Times New Roman"/>
                <w:szCs w:val="24"/>
              </w:rPr>
              <w:t>本项目风险分析主要内容及结论见表</w:t>
            </w:r>
            <w:r>
              <w:rPr>
                <w:rFonts w:hint="eastAsia" w:eastAsia="宋体" w:cs="Times New Roman"/>
                <w:szCs w:val="24"/>
              </w:rPr>
              <w:t>4-21</w:t>
            </w:r>
            <w:r>
              <w:rPr>
                <w:rFonts w:eastAsia="宋体" w:cs="Times New Roman"/>
                <w:szCs w:val="24"/>
              </w:rPr>
              <w:t>。</w:t>
            </w:r>
          </w:p>
          <w:p>
            <w:pPr>
              <w:ind w:firstLine="0" w:firstLineChars="0"/>
              <w:jc w:val="center"/>
              <w:rPr>
                <w:rFonts w:eastAsia="宋体" w:cs="Times New Roman"/>
                <w:b/>
                <w:bCs/>
                <w:szCs w:val="24"/>
              </w:rPr>
            </w:pPr>
          </w:p>
          <w:p>
            <w:pPr>
              <w:ind w:firstLine="0" w:firstLineChars="0"/>
              <w:jc w:val="center"/>
              <w:rPr>
                <w:rFonts w:eastAsia="宋体" w:cs="Times New Roman"/>
                <w:b/>
                <w:bCs/>
                <w:szCs w:val="24"/>
              </w:rPr>
            </w:pPr>
          </w:p>
          <w:p>
            <w:pPr>
              <w:ind w:firstLine="0" w:firstLineChars="0"/>
              <w:jc w:val="center"/>
              <w:rPr>
                <w:rFonts w:eastAsia="宋体" w:cs="Times New Roman"/>
                <w:b/>
                <w:bCs/>
                <w:szCs w:val="24"/>
              </w:rPr>
            </w:pPr>
          </w:p>
          <w:p>
            <w:pPr>
              <w:ind w:firstLine="0" w:firstLineChars="0"/>
              <w:jc w:val="center"/>
              <w:rPr>
                <w:rFonts w:eastAsia="宋体" w:cs="Times New Roman"/>
                <w:b/>
                <w:bCs/>
                <w:szCs w:val="24"/>
              </w:rPr>
            </w:pPr>
          </w:p>
          <w:p>
            <w:pPr>
              <w:ind w:firstLine="0" w:firstLineChars="0"/>
              <w:jc w:val="center"/>
              <w:rPr>
                <w:rFonts w:eastAsia="宋体" w:cs="Times New Roman"/>
                <w:b/>
                <w:bCs/>
                <w:szCs w:val="24"/>
              </w:rPr>
            </w:pPr>
          </w:p>
          <w:p>
            <w:pPr>
              <w:ind w:firstLine="0" w:firstLineChars="0"/>
              <w:jc w:val="center"/>
              <w:rPr>
                <w:rFonts w:eastAsia="宋体" w:cs="Times New Roman"/>
                <w:b/>
                <w:bCs/>
                <w:szCs w:val="24"/>
              </w:rPr>
            </w:pPr>
          </w:p>
          <w:p>
            <w:pPr>
              <w:ind w:firstLine="0" w:firstLineChars="0"/>
              <w:jc w:val="center"/>
              <w:rPr>
                <w:rFonts w:eastAsia="宋体" w:cs="Times New Roman"/>
                <w:b/>
                <w:bCs/>
                <w:szCs w:val="24"/>
              </w:rPr>
            </w:pPr>
            <w:r>
              <w:rPr>
                <w:rFonts w:hint="eastAsia" w:eastAsia="宋体" w:cs="Times New Roman"/>
                <w:b/>
                <w:bCs/>
                <w:szCs w:val="24"/>
              </w:rPr>
              <w:t>4-21</w:t>
            </w:r>
            <w:r>
              <w:rPr>
                <w:rFonts w:eastAsia="宋体" w:cs="Times New Roman"/>
                <w:b/>
                <w:bCs/>
                <w:szCs w:val="24"/>
              </w:rPr>
              <w:t xml:space="preserve">   项目环境风险简单分析内容表</w:t>
            </w:r>
          </w:p>
          <w:tbl>
            <w:tblPr>
              <w:tblStyle w:val="37"/>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518"/>
              <w:gridCol w:w="2123"/>
              <w:gridCol w:w="1412"/>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vAlign w:val="center"/>
                </w:tcPr>
                <w:p>
                  <w:pPr>
                    <w:spacing w:line="240" w:lineRule="auto"/>
                    <w:ind w:firstLine="0" w:firstLineChars="0"/>
                    <w:jc w:val="center"/>
                    <w:rPr>
                      <w:rFonts w:eastAsia="宋体" w:cs="Times New Roman"/>
                      <w:sz w:val="21"/>
                      <w:szCs w:val="21"/>
                    </w:rPr>
                  </w:pPr>
                  <w:r>
                    <w:rPr>
                      <w:rFonts w:eastAsia="宋体" w:cs="Times New Roman"/>
                      <w:sz w:val="21"/>
                      <w:szCs w:val="21"/>
                    </w:rPr>
                    <w:t>建设项目名称</w:t>
                  </w:r>
                </w:p>
              </w:tc>
              <w:tc>
                <w:tcPr>
                  <w:tcW w:w="6736" w:type="dxa"/>
                  <w:gridSpan w:val="4"/>
                  <w:tcBorders>
                    <w:right w:val="single" w:color="000000" w:sz="8" w:space="0"/>
                  </w:tcBorders>
                  <w:vAlign w:val="center"/>
                </w:tcPr>
                <w:p>
                  <w:pPr>
                    <w:spacing w:line="360" w:lineRule="exact"/>
                    <w:ind w:firstLine="0" w:firstLineChars="0"/>
                    <w:jc w:val="left"/>
                    <w:rPr>
                      <w:rFonts w:eastAsia="宋体" w:cs="Times New Roman"/>
                      <w:sz w:val="21"/>
                      <w:szCs w:val="21"/>
                    </w:rPr>
                  </w:pPr>
                  <w:r>
                    <w:rPr>
                      <w:rFonts w:hint="eastAsia" w:eastAsia="宋体" w:cs="Times New Roman"/>
                      <w:sz w:val="21"/>
                      <w:szCs w:val="21"/>
                    </w:rPr>
                    <w:t>姚安县龙岗卫生院建设项目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67" w:type="dxa"/>
                  <w:vAlign w:val="center"/>
                </w:tcPr>
                <w:p>
                  <w:pPr>
                    <w:spacing w:line="240" w:lineRule="auto"/>
                    <w:ind w:firstLine="0" w:firstLineChars="0"/>
                    <w:jc w:val="center"/>
                    <w:rPr>
                      <w:rFonts w:eastAsia="宋体" w:cs="Times New Roman"/>
                      <w:sz w:val="21"/>
                      <w:szCs w:val="21"/>
                    </w:rPr>
                  </w:pPr>
                  <w:r>
                    <w:rPr>
                      <w:rFonts w:eastAsia="宋体" w:cs="Times New Roman"/>
                      <w:sz w:val="21"/>
                      <w:szCs w:val="21"/>
                    </w:rPr>
                    <w:t>建设地点</w:t>
                  </w:r>
                </w:p>
              </w:tc>
              <w:tc>
                <w:tcPr>
                  <w:tcW w:w="6736" w:type="dxa"/>
                  <w:gridSpan w:val="4"/>
                  <w:tcBorders>
                    <w:right w:val="single" w:color="000000" w:sz="8" w:space="0"/>
                  </w:tcBorders>
                  <w:vAlign w:val="center"/>
                </w:tcPr>
                <w:p>
                  <w:pPr>
                    <w:spacing w:line="360" w:lineRule="exact"/>
                    <w:ind w:firstLine="0" w:firstLineChars="0"/>
                    <w:jc w:val="left"/>
                    <w:rPr>
                      <w:rFonts w:eastAsia="宋体" w:cs="Times New Roman"/>
                      <w:sz w:val="21"/>
                      <w:szCs w:val="21"/>
                    </w:rPr>
                  </w:pPr>
                  <w:r>
                    <w:rPr>
                      <w:rFonts w:hint="eastAsia" w:eastAsia="宋体" w:cs="Times New Roman"/>
                      <w:sz w:val="21"/>
                      <w:szCs w:val="21"/>
                    </w:rPr>
                    <w:t>云南省楚雄州姚安县栋川镇下新屯村委会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vAlign w:val="center"/>
                </w:tcPr>
                <w:p>
                  <w:pPr>
                    <w:spacing w:line="240" w:lineRule="auto"/>
                    <w:ind w:firstLine="0" w:firstLineChars="0"/>
                    <w:jc w:val="center"/>
                    <w:rPr>
                      <w:rFonts w:eastAsia="宋体" w:cs="Times New Roman"/>
                      <w:sz w:val="21"/>
                      <w:szCs w:val="21"/>
                    </w:rPr>
                  </w:pPr>
                  <w:r>
                    <w:rPr>
                      <w:rFonts w:eastAsia="宋体" w:cs="Times New Roman"/>
                      <w:sz w:val="21"/>
                      <w:szCs w:val="21"/>
                    </w:rPr>
                    <w:t>地理位置</w:t>
                  </w:r>
                </w:p>
              </w:tc>
              <w:tc>
                <w:tcPr>
                  <w:tcW w:w="1518" w:type="dxa"/>
                  <w:vAlign w:val="center"/>
                </w:tcPr>
                <w:p>
                  <w:pPr>
                    <w:spacing w:line="360" w:lineRule="exact"/>
                    <w:ind w:firstLine="0" w:firstLineChars="0"/>
                    <w:jc w:val="center"/>
                    <w:rPr>
                      <w:rFonts w:eastAsia="宋体" w:cs="Times New Roman"/>
                      <w:sz w:val="21"/>
                      <w:szCs w:val="21"/>
                    </w:rPr>
                  </w:pPr>
                  <w:r>
                    <w:rPr>
                      <w:rFonts w:eastAsia="宋体" w:cs="Times New Roman"/>
                      <w:sz w:val="21"/>
                      <w:szCs w:val="21"/>
                    </w:rPr>
                    <w:t>经度</w:t>
                  </w:r>
                </w:p>
              </w:tc>
              <w:tc>
                <w:tcPr>
                  <w:tcW w:w="2123" w:type="dxa"/>
                  <w:vAlign w:val="center"/>
                </w:tcPr>
                <w:p>
                  <w:pPr>
                    <w:spacing w:line="360" w:lineRule="exact"/>
                    <w:ind w:firstLine="0" w:firstLineChars="0"/>
                    <w:jc w:val="center"/>
                    <w:rPr>
                      <w:rFonts w:eastAsia="宋体" w:cs="Times New Roman"/>
                      <w:sz w:val="21"/>
                      <w:szCs w:val="21"/>
                    </w:rPr>
                  </w:pPr>
                  <w:r>
                    <w:rPr>
                      <w:rFonts w:eastAsia="宋体" w:cs="Times New Roman"/>
                      <w:sz w:val="21"/>
                      <w:szCs w:val="21"/>
                    </w:rPr>
                    <w:t>101°1</w:t>
                  </w:r>
                  <w:r>
                    <w:rPr>
                      <w:rFonts w:hint="eastAsia" w:eastAsia="宋体" w:cs="Times New Roman"/>
                      <w:sz w:val="21"/>
                      <w:szCs w:val="21"/>
                    </w:rPr>
                    <w:t>3</w:t>
                  </w:r>
                  <w:r>
                    <w:rPr>
                      <w:rFonts w:eastAsia="宋体" w:cs="Times New Roman"/>
                      <w:sz w:val="21"/>
                      <w:szCs w:val="21"/>
                    </w:rPr>
                    <w:t>′</w:t>
                  </w:r>
                  <w:r>
                    <w:rPr>
                      <w:rFonts w:hint="eastAsia" w:eastAsia="宋体" w:cs="Times New Roman"/>
                      <w:sz w:val="21"/>
                      <w:szCs w:val="21"/>
                    </w:rPr>
                    <w:t>29.49</w:t>
                  </w:r>
                  <w:r>
                    <w:rPr>
                      <w:rFonts w:eastAsia="宋体" w:cs="Times New Roman"/>
                      <w:sz w:val="21"/>
                      <w:szCs w:val="21"/>
                    </w:rPr>
                    <w:t>″</w:t>
                  </w:r>
                </w:p>
              </w:tc>
              <w:tc>
                <w:tcPr>
                  <w:tcW w:w="1412" w:type="dxa"/>
                  <w:vAlign w:val="center"/>
                </w:tcPr>
                <w:p>
                  <w:pPr>
                    <w:spacing w:line="360" w:lineRule="exact"/>
                    <w:ind w:firstLine="0" w:firstLineChars="0"/>
                    <w:jc w:val="center"/>
                    <w:rPr>
                      <w:rFonts w:eastAsia="宋体" w:cs="Times New Roman"/>
                      <w:sz w:val="21"/>
                      <w:szCs w:val="21"/>
                    </w:rPr>
                  </w:pPr>
                  <w:r>
                    <w:rPr>
                      <w:rFonts w:eastAsia="宋体" w:cs="Times New Roman"/>
                      <w:sz w:val="21"/>
                      <w:szCs w:val="21"/>
                    </w:rPr>
                    <w:t>纬度</w:t>
                  </w:r>
                </w:p>
              </w:tc>
              <w:tc>
                <w:tcPr>
                  <w:tcW w:w="1683" w:type="dxa"/>
                  <w:tcBorders>
                    <w:right w:val="single" w:color="000000" w:sz="8" w:space="0"/>
                  </w:tcBorders>
                  <w:vAlign w:val="center"/>
                </w:tcPr>
                <w:p>
                  <w:pPr>
                    <w:spacing w:line="360" w:lineRule="exact"/>
                    <w:ind w:firstLine="0" w:firstLineChars="0"/>
                    <w:jc w:val="center"/>
                    <w:rPr>
                      <w:rFonts w:eastAsia="宋体" w:cs="Times New Roman"/>
                      <w:sz w:val="21"/>
                      <w:szCs w:val="21"/>
                    </w:rPr>
                  </w:pPr>
                  <w:r>
                    <w:rPr>
                      <w:rFonts w:eastAsia="宋体" w:cs="Times New Roman"/>
                      <w:sz w:val="21"/>
                      <w:szCs w:val="21"/>
                    </w:rPr>
                    <w:t>25°</w:t>
                  </w:r>
                  <w:r>
                    <w:rPr>
                      <w:rFonts w:hint="eastAsia" w:eastAsia="宋体" w:cs="Times New Roman"/>
                      <w:sz w:val="21"/>
                      <w:szCs w:val="21"/>
                    </w:rPr>
                    <w:t>32</w:t>
                  </w:r>
                  <w:r>
                    <w:rPr>
                      <w:rFonts w:eastAsia="宋体" w:cs="Times New Roman"/>
                      <w:sz w:val="21"/>
                      <w:szCs w:val="21"/>
                    </w:rPr>
                    <w:t>′</w:t>
                  </w:r>
                  <w:r>
                    <w:rPr>
                      <w:rFonts w:hint="eastAsia" w:eastAsia="宋体" w:cs="Times New Roman"/>
                      <w:sz w:val="21"/>
                      <w:szCs w:val="21"/>
                    </w:rPr>
                    <w:t>0.77</w:t>
                  </w:r>
                  <w:r>
                    <w:rPr>
                      <w:rFonts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67" w:type="dxa"/>
                  <w:vAlign w:val="center"/>
                </w:tcPr>
                <w:p>
                  <w:pPr>
                    <w:spacing w:line="240" w:lineRule="auto"/>
                    <w:ind w:firstLine="0" w:firstLineChars="0"/>
                    <w:jc w:val="center"/>
                    <w:rPr>
                      <w:rFonts w:eastAsia="宋体" w:cs="Times New Roman"/>
                      <w:sz w:val="21"/>
                      <w:szCs w:val="21"/>
                    </w:rPr>
                  </w:pPr>
                  <w:r>
                    <w:rPr>
                      <w:rFonts w:eastAsia="宋体" w:cs="Times New Roman"/>
                      <w:sz w:val="21"/>
                      <w:szCs w:val="21"/>
                    </w:rPr>
                    <w:t>主要危险物质及分布</w:t>
                  </w:r>
                </w:p>
              </w:tc>
              <w:tc>
                <w:tcPr>
                  <w:tcW w:w="6736" w:type="dxa"/>
                  <w:gridSpan w:val="4"/>
                  <w:tcBorders>
                    <w:right w:val="single" w:color="000000" w:sz="8" w:space="0"/>
                  </w:tcBorders>
                  <w:vAlign w:val="center"/>
                </w:tcPr>
                <w:p>
                  <w:pPr>
                    <w:spacing w:line="400" w:lineRule="exact"/>
                    <w:ind w:firstLine="0" w:firstLineChars="0"/>
                    <w:jc w:val="left"/>
                    <w:rPr>
                      <w:rFonts w:eastAsia="宋体" w:cs="Times New Roman"/>
                      <w:sz w:val="21"/>
                      <w:szCs w:val="21"/>
                    </w:rPr>
                  </w:pPr>
                  <w:r>
                    <w:rPr>
                      <w:rFonts w:hint="eastAsia" w:eastAsia="宋体" w:cs="Times New Roman"/>
                      <w:sz w:val="21"/>
                      <w:szCs w:val="21"/>
                    </w:rPr>
                    <w:t>项目风险物质为次氯酸钠、医用酒精、氧气等。</w:t>
                  </w:r>
                  <w:r>
                    <w:rPr>
                      <w:rFonts w:eastAsia="宋体" w:cs="Times New Roman"/>
                      <w:sz w:val="21"/>
                      <w:szCs w:val="21"/>
                    </w:rPr>
                    <w:t>主要</w:t>
                  </w:r>
                  <w:r>
                    <w:rPr>
                      <w:rFonts w:hint="eastAsia" w:eastAsia="宋体" w:cs="Times New Roman"/>
                      <w:sz w:val="21"/>
                      <w:szCs w:val="21"/>
                    </w:rPr>
                    <w:t>风险</w:t>
                  </w:r>
                  <w:r>
                    <w:rPr>
                      <w:rFonts w:eastAsia="宋体" w:cs="Times New Roman"/>
                      <w:sz w:val="21"/>
                      <w:szCs w:val="21"/>
                    </w:rPr>
                    <w:t>单元</w:t>
                  </w:r>
                  <w:r>
                    <w:rPr>
                      <w:rFonts w:hint="eastAsia" w:eastAsia="宋体" w:cs="Times New Roman"/>
                      <w:sz w:val="21"/>
                      <w:szCs w:val="21"/>
                    </w:rPr>
                    <w:t>为储存间、药剂室。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67" w:type="dxa"/>
                  <w:vAlign w:val="center"/>
                </w:tcPr>
                <w:p>
                  <w:pPr>
                    <w:ind w:firstLine="0" w:firstLineChars="0"/>
                    <w:jc w:val="center"/>
                    <w:rPr>
                      <w:rFonts w:eastAsia="宋体" w:cs="Times New Roman"/>
                      <w:sz w:val="21"/>
                      <w:szCs w:val="21"/>
                    </w:rPr>
                  </w:pPr>
                  <w:r>
                    <w:rPr>
                      <w:rFonts w:eastAsia="宋体" w:cs="Times New Roman"/>
                      <w:sz w:val="21"/>
                      <w:szCs w:val="21"/>
                    </w:rPr>
                    <w:t>环境</w:t>
                  </w:r>
                  <w:r>
                    <w:rPr>
                      <w:rFonts w:hint="eastAsia" w:eastAsia="宋体" w:cs="Times New Roman"/>
                      <w:sz w:val="21"/>
                      <w:szCs w:val="21"/>
                    </w:rPr>
                    <w:t>风险</w:t>
                  </w:r>
                  <w:r>
                    <w:rPr>
                      <w:rFonts w:eastAsia="宋体" w:cs="Times New Roman"/>
                      <w:sz w:val="21"/>
                      <w:szCs w:val="21"/>
                    </w:rPr>
                    <w:t>影响途径及危害后果</w:t>
                  </w:r>
                </w:p>
              </w:tc>
              <w:tc>
                <w:tcPr>
                  <w:tcW w:w="6736" w:type="dxa"/>
                  <w:gridSpan w:val="4"/>
                  <w:tcBorders>
                    <w:right w:val="single" w:color="000000" w:sz="8" w:space="0"/>
                  </w:tcBorders>
                  <w:vAlign w:val="center"/>
                </w:tcPr>
                <w:p>
                  <w:pPr>
                    <w:spacing w:line="400" w:lineRule="exact"/>
                    <w:ind w:firstLine="0" w:firstLineChars="0"/>
                    <w:jc w:val="left"/>
                    <w:rPr>
                      <w:rFonts w:eastAsia="宋体" w:cs="Times New Roman"/>
                      <w:sz w:val="21"/>
                      <w:szCs w:val="21"/>
                    </w:rPr>
                  </w:pPr>
                  <w:r>
                    <w:rPr>
                      <w:rFonts w:hint="eastAsia" w:eastAsia="宋体" w:cs="Times New Roman"/>
                      <w:sz w:val="21"/>
                      <w:szCs w:val="21"/>
                    </w:rPr>
                    <w:t>（1）次氯酸钠、医用酒精</w:t>
                  </w:r>
                  <w:r>
                    <w:rPr>
                      <w:rFonts w:eastAsia="宋体" w:cs="Times New Roman"/>
                      <w:sz w:val="21"/>
                      <w:szCs w:val="21"/>
                    </w:rPr>
                    <w:t>储存和使用过程中操作管理不当导致泄漏、储存容器破裂发生跑冒滴漏对周围环境造成影响；</w:t>
                  </w:r>
                </w:p>
                <w:p>
                  <w:pPr>
                    <w:spacing w:line="400" w:lineRule="exact"/>
                    <w:ind w:firstLine="0" w:firstLineChars="0"/>
                    <w:jc w:val="left"/>
                    <w:rPr>
                      <w:rFonts w:eastAsia="宋体" w:cs="Times New Roman"/>
                      <w:sz w:val="21"/>
                      <w:szCs w:val="21"/>
                    </w:rPr>
                  </w:pPr>
                  <w:r>
                    <w:rPr>
                      <w:rFonts w:hint="eastAsia" w:eastAsia="宋体" w:cs="Times New Roman"/>
                      <w:sz w:val="21"/>
                      <w:szCs w:val="21"/>
                    </w:rPr>
                    <w:t>（2）</w:t>
                  </w:r>
                  <w:r>
                    <w:rPr>
                      <w:rFonts w:eastAsia="宋体" w:cs="Times New Roman"/>
                      <w:sz w:val="21"/>
                      <w:szCs w:val="21"/>
                    </w:rPr>
                    <w:t>项目发生火灾、爆炸产生的烟尘、SO</w:t>
                  </w:r>
                  <w:r>
                    <w:rPr>
                      <w:rFonts w:eastAsia="宋体" w:cs="Times New Roman"/>
                      <w:sz w:val="21"/>
                      <w:szCs w:val="21"/>
                      <w:vertAlign w:val="subscript"/>
                    </w:rPr>
                    <w:t>2</w:t>
                  </w:r>
                  <w:r>
                    <w:rPr>
                      <w:rFonts w:eastAsia="宋体" w:cs="Times New Roman"/>
                      <w:sz w:val="21"/>
                      <w:szCs w:val="21"/>
                    </w:rPr>
                    <w:t>、NO</w:t>
                  </w:r>
                  <w:r>
                    <w:rPr>
                      <w:rFonts w:hint="eastAsia" w:eastAsia="宋体" w:cs="Times New Roman"/>
                      <w:sz w:val="21"/>
                      <w:szCs w:val="21"/>
                      <w:vertAlign w:val="subscript"/>
                    </w:rPr>
                    <w:t>x</w:t>
                  </w:r>
                  <w:r>
                    <w:rPr>
                      <w:rFonts w:eastAsia="宋体" w:cs="Times New Roman"/>
                      <w:sz w:val="21"/>
                      <w:szCs w:val="21"/>
                    </w:rPr>
                    <w:t>、CO等对大气环境产生影响。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vAlign w:val="center"/>
                </w:tcPr>
                <w:p>
                  <w:pPr>
                    <w:ind w:firstLine="0" w:firstLineChars="0"/>
                    <w:jc w:val="left"/>
                    <w:rPr>
                      <w:rFonts w:eastAsia="宋体" w:cs="Times New Roman"/>
                      <w:sz w:val="21"/>
                      <w:szCs w:val="21"/>
                    </w:rPr>
                  </w:pPr>
                  <w:r>
                    <w:rPr>
                      <w:rFonts w:eastAsia="宋体" w:cs="Times New Roman"/>
                      <w:sz w:val="21"/>
                      <w:szCs w:val="21"/>
                    </w:rPr>
                    <w:t>风险防范措施要求</w:t>
                  </w:r>
                </w:p>
              </w:tc>
              <w:tc>
                <w:tcPr>
                  <w:tcW w:w="6736" w:type="dxa"/>
                  <w:gridSpan w:val="4"/>
                  <w:tcBorders>
                    <w:right w:val="single" w:color="000000" w:sz="8" w:space="0"/>
                  </w:tcBorders>
                  <w:vAlign w:val="center"/>
                </w:tcPr>
                <w:p>
                  <w:pPr>
                    <w:spacing w:line="400" w:lineRule="exact"/>
                    <w:ind w:firstLine="0" w:firstLineChars="0"/>
                    <w:jc w:val="left"/>
                    <w:rPr>
                      <w:rFonts w:eastAsia="宋体" w:cs="Times New Roman"/>
                      <w:b/>
                      <w:bCs/>
                      <w:sz w:val="21"/>
                      <w:szCs w:val="21"/>
                    </w:rPr>
                  </w:pPr>
                  <w:r>
                    <w:rPr>
                      <w:rFonts w:hint="eastAsia" w:eastAsia="宋体" w:cs="Times New Roman"/>
                      <w:b/>
                      <w:bCs/>
                      <w:sz w:val="21"/>
                      <w:szCs w:val="21"/>
                    </w:rPr>
                    <w:t>（1）</w:t>
                  </w:r>
                  <w:r>
                    <w:rPr>
                      <w:rFonts w:eastAsia="宋体" w:cs="Times New Roman"/>
                      <w:b/>
                      <w:bCs/>
                      <w:sz w:val="21"/>
                      <w:szCs w:val="21"/>
                    </w:rPr>
                    <w:t>针对火灾爆炸事故</w:t>
                  </w:r>
                  <w:r>
                    <w:rPr>
                      <w:rFonts w:hint="eastAsia" w:eastAsia="宋体" w:cs="Times New Roman"/>
                      <w:b/>
                      <w:bCs/>
                      <w:sz w:val="21"/>
                      <w:szCs w:val="21"/>
                    </w:rPr>
                    <w:t>防的风险范措施</w:t>
                  </w:r>
                </w:p>
                <w:p>
                  <w:pPr>
                    <w:spacing w:line="400" w:lineRule="exact"/>
                    <w:ind w:firstLine="0" w:firstLineChars="0"/>
                    <w:jc w:val="left"/>
                    <w:rPr>
                      <w:rFonts w:eastAsia="宋体" w:cs="Times New Roman"/>
                      <w:sz w:val="21"/>
                      <w:szCs w:val="21"/>
                    </w:rPr>
                  </w:pPr>
                  <w:r>
                    <w:rPr>
                      <w:rFonts w:eastAsia="宋体" w:cs="Times New Roman"/>
                      <w:sz w:val="21"/>
                      <w:szCs w:val="21"/>
                    </w:rPr>
                    <w:t>按照相关的规范和消防部门的要求，配备消防器材，在发生火灾时使用CO</w:t>
                  </w:r>
                  <w:r>
                    <w:rPr>
                      <w:rFonts w:eastAsia="宋体" w:cs="Times New Roman"/>
                      <w:sz w:val="21"/>
                      <w:szCs w:val="21"/>
                      <w:vertAlign w:val="subscript"/>
                    </w:rPr>
                    <w:t>2</w:t>
                  </w:r>
                  <w:r>
                    <w:rPr>
                      <w:rFonts w:eastAsia="宋体" w:cs="Times New Roman"/>
                      <w:sz w:val="21"/>
                      <w:szCs w:val="21"/>
                    </w:rPr>
                    <w:t>干粉灭火器和消防沙进行灭火，灭火结束后产生的沾有油品的沙子属于危险固废，运至项目危废暂存间进行暂存，委托有资质单位清运处置；在危险品使用过程中，应该严格参照《危险化学品安全管理条例》（ 国务院第 344 号令）要求，需要做好这些化学品的贮存、使用，防止火灾风险事故的发生。</w:t>
                  </w:r>
                </w:p>
                <w:p>
                  <w:pPr>
                    <w:spacing w:line="400" w:lineRule="exact"/>
                    <w:ind w:firstLine="0" w:firstLineChars="0"/>
                    <w:jc w:val="left"/>
                    <w:rPr>
                      <w:rFonts w:eastAsia="宋体" w:cs="Times New Roman"/>
                      <w:sz w:val="21"/>
                      <w:szCs w:val="21"/>
                    </w:rPr>
                  </w:pPr>
                  <w:r>
                    <w:rPr>
                      <w:rFonts w:eastAsia="宋体" w:cs="Times New Roman"/>
                      <w:sz w:val="21"/>
                      <w:szCs w:val="21"/>
                    </w:rPr>
                    <w:t>规范管理，加强职工培训</w:t>
                  </w:r>
                  <w:r>
                    <w:rPr>
                      <w:rFonts w:hint="eastAsia" w:eastAsia="宋体" w:cs="Times New Roman"/>
                      <w:sz w:val="21"/>
                      <w:szCs w:val="21"/>
                    </w:rPr>
                    <w:t>。</w:t>
                  </w:r>
                  <w:r>
                    <w:rPr>
                      <w:rFonts w:eastAsia="宋体" w:cs="Times New Roman"/>
                      <w:sz w:val="21"/>
                      <w:szCs w:val="21"/>
                    </w:rPr>
                    <w:t>各类事故及非正常生产情况的发生大多数与操作管理不当有直接关系，因此，必须建立健全一整套严格的管理制度。管理制度应在以下几个方面予以关注：</w:t>
                  </w:r>
                </w:p>
                <w:p>
                  <w:pPr>
                    <w:spacing w:line="400" w:lineRule="exact"/>
                    <w:ind w:firstLine="0" w:firstLineChars="0"/>
                    <w:jc w:val="left"/>
                    <w:rPr>
                      <w:rFonts w:eastAsia="宋体" w:cs="Times New Roman"/>
                      <w:sz w:val="21"/>
                      <w:szCs w:val="21"/>
                    </w:rPr>
                  </w:pPr>
                  <w:r>
                    <w:rPr>
                      <w:rFonts w:hint="eastAsia" w:eastAsia="宋体" w:cs="Times New Roman"/>
                      <w:sz w:val="21"/>
                      <w:szCs w:val="21"/>
                    </w:rPr>
                    <w:t xml:space="preserve">① </w:t>
                  </w:r>
                  <w:r>
                    <w:rPr>
                      <w:rFonts w:eastAsia="宋体" w:cs="Times New Roman"/>
                      <w:sz w:val="21"/>
                      <w:szCs w:val="21"/>
                    </w:rPr>
                    <w:t>加强</w:t>
                  </w:r>
                  <w:r>
                    <w:rPr>
                      <w:rFonts w:hint="eastAsia" w:eastAsia="宋体" w:cs="Times New Roman"/>
                      <w:sz w:val="21"/>
                      <w:szCs w:val="21"/>
                    </w:rPr>
                    <w:t>风险物质</w:t>
                  </w:r>
                  <w:r>
                    <w:rPr>
                      <w:rFonts w:eastAsia="宋体" w:cs="Times New Roman"/>
                      <w:sz w:val="21"/>
                      <w:szCs w:val="21"/>
                    </w:rPr>
                    <w:t>的管理，严格防止跑、冒、滴、漏现象发生。</w:t>
                  </w:r>
                </w:p>
                <w:p>
                  <w:pPr>
                    <w:spacing w:line="400" w:lineRule="exact"/>
                    <w:ind w:firstLine="0" w:firstLineChars="0"/>
                    <w:jc w:val="left"/>
                    <w:rPr>
                      <w:rFonts w:eastAsia="宋体" w:cs="Times New Roman"/>
                      <w:sz w:val="21"/>
                      <w:szCs w:val="21"/>
                    </w:rPr>
                  </w:pPr>
                  <w:r>
                    <w:rPr>
                      <w:rFonts w:hint="eastAsia" w:eastAsia="宋体" w:cs="Times New Roman"/>
                      <w:sz w:val="21"/>
                      <w:szCs w:val="21"/>
                    </w:rPr>
                    <w:t xml:space="preserve">② </w:t>
                  </w:r>
                  <w:r>
                    <w:rPr>
                      <w:rFonts w:eastAsia="宋体" w:cs="Times New Roman"/>
                      <w:sz w:val="21"/>
                      <w:szCs w:val="21"/>
                    </w:rPr>
                    <w:t>把每个工作人员在业务上、工作上与消防安全管理上的职责、责任明确起来，层层把关，杜绝事故的发生。</w:t>
                  </w:r>
                </w:p>
                <w:p>
                  <w:pPr>
                    <w:spacing w:line="400" w:lineRule="exact"/>
                    <w:ind w:firstLine="0" w:firstLineChars="0"/>
                    <w:jc w:val="left"/>
                    <w:rPr>
                      <w:rFonts w:eastAsia="宋体" w:cs="Times New Roman"/>
                      <w:sz w:val="21"/>
                      <w:szCs w:val="21"/>
                    </w:rPr>
                  </w:pPr>
                  <w:r>
                    <w:rPr>
                      <w:rFonts w:hint="eastAsia" w:eastAsia="宋体" w:cs="Times New Roman"/>
                      <w:sz w:val="21"/>
                      <w:szCs w:val="21"/>
                    </w:rPr>
                    <w:t xml:space="preserve">③ </w:t>
                  </w:r>
                  <w:r>
                    <w:rPr>
                      <w:rFonts w:eastAsia="宋体" w:cs="Times New Roman"/>
                      <w:sz w:val="21"/>
                      <w:szCs w:val="21"/>
                    </w:rPr>
                    <w:t>对各类贮存容器、机电装置、安全设施、消防器材等进行各种日常的、定期的、专业的防火安全检查，并将发现的问题落实到人、限期落实整改。</w:t>
                  </w:r>
                </w:p>
                <w:p>
                  <w:pPr>
                    <w:spacing w:line="400" w:lineRule="exact"/>
                    <w:ind w:firstLine="0" w:firstLineChars="0"/>
                    <w:jc w:val="left"/>
                    <w:rPr>
                      <w:rFonts w:eastAsia="宋体" w:cs="Times New Roman"/>
                      <w:sz w:val="21"/>
                      <w:szCs w:val="21"/>
                    </w:rPr>
                  </w:pPr>
                  <w:r>
                    <w:rPr>
                      <w:rFonts w:hint="eastAsia" w:eastAsia="宋体" w:cs="Times New Roman"/>
                      <w:sz w:val="21"/>
                      <w:szCs w:val="21"/>
                    </w:rPr>
                    <w:t>④</w:t>
                  </w:r>
                  <w:r>
                    <w:rPr>
                      <w:rFonts w:eastAsia="宋体" w:cs="Times New Roman"/>
                      <w:sz w:val="21"/>
                      <w:szCs w:val="21"/>
                    </w:rPr>
                    <w:t>开展各种形式的安全教育和宣传，增强全员安全意识。加强职工培训， 增强职工的安全意识和相关知识。</w:t>
                  </w:r>
                </w:p>
                <w:p>
                  <w:pPr>
                    <w:spacing w:line="400" w:lineRule="exact"/>
                    <w:ind w:firstLine="0" w:firstLineChars="0"/>
                    <w:jc w:val="left"/>
                    <w:rPr>
                      <w:rFonts w:eastAsia="宋体" w:cs="Times New Roman"/>
                      <w:b/>
                      <w:bCs/>
                      <w:sz w:val="21"/>
                      <w:szCs w:val="21"/>
                    </w:rPr>
                  </w:pPr>
                  <w:r>
                    <w:rPr>
                      <w:rFonts w:hint="eastAsia" w:eastAsia="宋体" w:cs="Times New Roman"/>
                      <w:b/>
                      <w:bCs/>
                      <w:sz w:val="21"/>
                      <w:szCs w:val="21"/>
                    </w:rPr>
                    <w:t>（2）</w:t>
                  </w:r>
                  <w:r>
                    <w:rPr>
                      <w:rFonts w:eastAsia="宋体" w:cs="Times New Roman"/>
                      <w:b/>
                      <w:bCs/>
                      <w:sz w:val="21"/>
                      <w:szCs w:val="21"/>
                    </w:rPr>
                    <w:t>针对溢出、泄漏事故</w:t>
                  </w:r>
                  <w:r>
                    <w:rPr>
                      <w:rFonts w:hint="eastAsia" w:eastAsia="宋体" w:cs="Times New Roman"/>
                      <w:b/>
                      <w:bCs/>
                      <w:sz w:val="21"/>
                      <w:szCs w:val="21"/>
                    </w:rPr>
                    <w:t>的风险防范措施</w:t>
                  </w:r>
                </w:p>
                <w:p>
                  <w:pPr>
                    <w:spacing w:line="400" w:lineRule="exact"/>
                    <w:ind w:firstLine="0" w:firstLineChars="0"/>
                    <w:jc w:val="left"/>
                    <w:rPr>
                      <w:rFonts w:eastAsia="宋体" w:cs="Times New Roman"/>
                      <w:sz w:val="21"/>
                      <w:szCs w:val="21"/>
                    </w:rPr>
                  </w:pPr>
                  <w:r>
                    <w:rPr>
                      <w:rFonts w:hint="eastAsia" w:eastAsia="宋体" w:cs="Times New Roman"/>
                      <w:sz w:val="21"/>
                      <w:szCs w:val="21"/>
                    </w:rPr>
                    <w:t xml:space="preserve">① </w:t>
                  </w:r>
                  <w:r>
                    <w:rPr>
                      <w:rFonts w:eastAsia="宋体" w:cs="Times New Roman"/>
                      <w:sz w:val="21"/>
                      <w:szCs w:val="21"/>
                    </w:rPr>
                    <w:t>采用专用</w:t>
                  </w:r>
                  <w:r>
                    <w:rPr>
                      <w:rFonts w:hint="eastAsia" w:eastAsia="宋体" w:cs="Times New Roman"/>
                      <w:sz w:val="21"/>
                      <w:szCs w:val="21"/>
                    </w:rPr>
                    <w:t>的容器储存风险物质</w:t>
                  </w:r>
                  <w:r>
                    <w:rPr>
                      <w:rFonts w:eastAsia="宋体" w:cs="Times New Roman"/>
                      <w:sz w:val="21"/>
                      <w:szCs w:val="21"/>
                    </w:rPr>
                    <w:t>；</w:t>
                  </w:r>
                </w:p>
                <w:p>
                  <w:pPr>
                    <w:spacing w:line="400" w:lineRule="exact"/>
                    <w:ind w:firstLine="0" w:firstLineChars="0"/>
                    <w:jc w:val="left"/>
                    <w:rPr>
                      <w:rFonts w:eastAsia="宋体" w:cs="Times New Roman"/>
                      <w:sz w:val="21"/>
                      <w:szCs w:val="21"/>
                    </w:rPr>
                  </w:pPr>
                  <w:r>
                    <w:rPr>
                      <w:rFonts w:hint="eastAsia" w:eastAsia="宋体" w:cs="Times New Roman"/>
                      <w:sz w:val="21"/>
                      <w:szCs w:val="21"/>
                    </w:rPr>
                    <w:t xml:space="preserve">② </w:t>
                  </w:r>
                  <w:r>
                    <w:rPr>
                      <w:rFonts w:eastAsia="宋体" w:cs="Times New Roman"/>
                      <w:sz w:val="21"/>
                      <w:szCs w:val="21"/>
                    </w:rPr>
                    <w:t>定期对</w:t>
                  </w:r>
                  <w:r>
                    <w:rPr>
                      <w:rFonts w:hint="eastAsia" w:eastAsia="宋体" w:cs="Times New Roman"/>
                      <w:sz w:val="21"/>
                      <w:szCs w:val="21"/>
                    </w:rPr>
                    <w:t>风险物质储存容器进行检查，</w:t>
                  </w:r>
                  <w:r>
                    <w:rPr>
                      <w:rFonts w:eastAsia="宋体" w:cs="Times New Roman"/>
                      <w:sz w:val="21"/>
                      <w:szCs w:val="21"/>
                    </w:rPr>
                    <w:t>避免发生跑、冒、滴、漏现象；</w:t>
                  </w:r>
                </w:p>
                <w:p>
                  <w:pPr>
                    <w:spacing w:line="400" w:lineRule="exact"/>
                    <w:ind w:firstLine="0" w:firstLineChars="0"/>
                    <w:jc w:val="left"/>
                    <w:rPr>
                      <w:rFonts w:eastAsia="宋体" w:cs="Times New Roman"/>
                      <w:sz w:val="21"/>
                      <w:szCs w:val="21"/>
                    </w:rPr>
                  </w:pPr>
                  <w:r>
                    <w:rPr>
                      <w:rFonts w:hint="eastAsia" w:eastAsia="宋体" w:cs="Times New Roman"/>
                      <w:sz w:val="21"/>
                      <w:szCs w:val="21"/>
                    </w:rPr>
                    <w:t>③ 液态风险物质</w:t>
                  </w:r>
                  <w:r>
                    <w:rPr>
                      <w:rFonts w:eastAsia="宋体" w:cs="Times New Roman"/>
                      <w:sz w:val="21"/>
                      <w:szCs w:val="21"/>
                    </w:rPr>
                    <w:t>泄露时，按操作规程及时收集泄露的液体，减少挥发量；</w:t>
                  </w:r>
                </w:p>
                <w:p>
                  <w:pPr>
                    <w:spacing w:line="400" w:lineRule="exact"/>
                    <w:ind w:firstLine="0" w:firstLineChars="0"/>
                    <w:jc w:val="left"/>
                    <w:rPr>
                      <w:rFonts w:eastAsia="宋体" w:cs="Times New Roman"/>
                      <w:sz w:val="21"/>
                      <w:szCs w:val="21"/>
                    </w:rPr>
                  </w:pPr>
                  <w:r>
                    <w:rPr>
                      <w:rFonts w:hint="eastAsia" w:eastAsia="宋体" w:cs="Times New Roman"/>
                      <w:sz w:val="21"/>
                      <w:szCs w:val="21"/>
                    </w:rPr>
                    <w:t xml:space="preserve">④ </w:t>
                  </w:r>
                  <w:r>
                    <w:rPr>
                      <w:rFonts w:eastAsia="宋体" w:cs="Times New Roman"/>
                      <w:sz w:val="21"/>
                      <w:szCs w:val="21"/>
                    </w:rPr>
                    <w:t>制定</w:t>
                  </w:r>
                  <w:r>
                    <w:rPr>
                      <w:rFonts w:hint="eastAsia" w:eastAsia="宋体" w:cs="Times New Roman"/>
                      <w:sz w:val="21"/>
                      <w:szCs w:val="21"/>
                    </w:rPr>
                    <w:t>有</w:t>
                  </w:r>
                  <w:r>
                    <w:rPr>
                      <w:rFonts w:eastAsia="宋体" w:cs="Times New Roman"/>
                      <w:sz w:val="21"/>
                      <w:szCs w:val="21"/>
                    </w:rPr>
                    <w:t>环境污染突发事故应急预案，并组织演练，防患于未然。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503" w:type="dxa"/>
                  <w:gridSpan w:val="5"/>
                  <w:tcBorders>
                    <w:right w:val="single" w:color="000000" w:sz="8" w:space="0"/>
                  </w:tcBorders>
                  <w:vAlign w:val="center"/>
                </w:tcPr>
                <w:p>
                  <w:pPr>
                    <w:spacing w:line="360" w:lineRule="exact"/>
                    <w:ind w:firstLine="0" w:firstLineChars="0"/>
                    <w:jc w:val="left"/>
                    <w:rPr>
                      <w:rFonts w:eastAsia="宋体" w:cs="Times New Roman"/>
                      <w:b/>
                      <w:bCs/>
                      <w:sz w:val="21"/>
                      <w:szCs w:val="21"/>
                    </w:rPr>
                  </w:pPr>
                  <w:r>
                    <w:rPr>
                      <w:rFonts w:eastAsia="宋体" w:cs="Times New Roman"/>
                      <w:b/>
                      <w:bCs/>
                      <w:sz w:val="21"/>
                      <w:szCs w:val="21"/>
                    </w:rPr>
                    <w:t>填表说明（列出项目相关信息及评价说明）：</w:t>
                  </w:r>
                </w:p>
                <w:p>
                  <w:pPr>
                    <w:spacing w:line="400" w:lineRule="exact"/>
                    <w:ind w:firstLine="0" w:firstLineChars="0"/>
                    <w:jc w:val="left"/>
                    <w:rPr>
                      <w:rFonts w:eastAsia="宋体" w:cs="Times New Roman"/>
                      <w:sz w:val="21"/>
                      <w:szCs w:val="21"/>
                    </w:rPr>
                  </w:pPr>
                  <w:r>
                    <w:rPr>
                      <w:rFonts w:eastAsia="宋体" w:cs="Times New Roman"/>
                      <w:sz w:val="21"/>
                      <w:szCs w:val="21"/>
                    </w:rPr>
                    <w:t>本项目为乡镇卫生院项目，主要危险物质主要为</w:t>
                  </w:r>
                  <w:r>
                    <w:rPr>
                      <w:rFonts w:hint="eastAsia" w:eastAsia="宋体" w:cs="Times New Roman"/>
                      <w:sz w:val="21"/>
                      <w:szCs w:val="21"/>
                    </w:rPr>
                    <w:t>次氯酸钠、医用酒精、氧气等</w:t>
                  </w:r>
                  <w:r>
                    <w:rPr>
                      <w:rFonts w:eastAsia="宋体" w:cs="Times New Roman"/>
                      <w:sz w:val="21"/>
                      <w:szCs w:val="21"/>
                    </w:rPr>
                    <w:t>，环评认为本项目存在一定的环境风险隐患，但只要本项目在运营期过程加强管理，发生危害事故的几率是很小的。发生事故时如能严格落实本报告提出的各项防止环境污染的措施和要求，采取紧急的工程应急措施和社会应急措施，事故产生的影响是可以控制的，存在的风险是可以接受的，项目建设从环境风险角度分析是可行的。</w:t>
                  </w:r>
                </w:p>
              </w:tc>
            </w:tr>
          </w:tbl>
          <w:p>
            <w:pPr>
              <w:ind w:firstLine="0" w:firstLineChars="0"/>
              <w:jc w:val="center"/>
              <w:rPr>
                <w:rFonts w:eastAsia="宋体" w:cs="Times New Roman"/>
                <w:b/>
                <w:bCs/>
                <w:szCs w:val="24"/>
              </w:rPr>
            </w:pPr>
          </w:p>
          <w:p>
            <w:pPr>
              <w:ind w:firstLine="0" w:firstLineChars="0"/>
              <w:jc w:val="center"/>
              <w:rPr>
                <w:rFonts w:eastAsia="宋体" w:cs="Times New Roman"/>
                <w:b/>
                <w:bCs/>
                <w:szCs w:val="24"/>
              </w:rPr>
            </w:pPr>
          </w:p>
          <w:p>
            <w:pPr>
              <w:ind w:firstLine="0" w:firstLineChars="0"/>
              <w:jc w:val="center"/>
              <w:rPr>
                <w:rFonts w:eastAsia="宋体" w:cs="Times New Roman"/>
                <w:b/>
                <w:bCs/>
                <w:szCs w:val="24"/>
              </w:rPr>
            </w:pPr>
          </w:p>
          <w:p>
            <w:pPr>
              <w:ind w:firstLine="0" w:firstLineChars="0"/>
              <w:jc w:val="center"/>
              <w:rPr>
                <w:rFonts w:eastAsia="宋体" w:cs="Times New Roman"/>
                <w:b/>
                <w:bCs/>
                <w:szCs w:val="24"/>
              </w:rPr>
            </w:pPr>
          </w:p>
          <w:p>
            <w:pPr>
              <w:ind w:firstLine="0" w:firstLineChars="0"/>
              <w:jc w:val="center"/>
              <w:rPr>
                <w:rFonts w:eastAsia="宋体" w:cs="Times New Roman"/>
                <w:b/>
                <w:bCs/>
                <w:szCs w:val="24"/>
              </w:rPr>
            </w:pPr>
          </w:p>
          <w:p>
            <w:pPr>
              <w:ind w:firstLine="0" w:firstLineChars="0"/>
              <w:jc w:val="center"/>
              <w:rPr>
                <w:rFonts w:eastAsia="宋体" w:cs="Times New Roman"/>
                <w:b/>
                <w:bCs/>
                <w:szCs w:val="24"/>
              </w:rPr>
            </w:pPr>
          </w:p>
          <w:p>
            <w:pPr>
              <w:ind w:firstLine="0" w:firstLineChars="0"/>
              <w:jc w:val="center"/>
              <w:rPr>
                <w:rFonts w:eastAsia="宋体" w:cs="Times New Roman"/>
                <w:b/>
                <w:bCs/>
                <w:szCs w:val="24"/>
              </w:rPr>
            </w:pPr>
          </w:p>
          <w:p>
            <w:pPr>
              <w:ind w:firstLine="0" w:firstLineChars="0"/>
              <w:jc w:val="center"/>
              <w:rPr>
                <w:rFonts w:eastAsia="宋体" w:cs="Times New Roman"/>
                <w:b/>
                <w:bCs/>
                <w:szCs w:val="24"/>
              </w:rPr>
            </w:pPr>
          </w:p>
          <w:p>
            <w:pPr>
              <w:ind w:firstLine="0" w:firstLineChars="0"/>
              <w:jc w:val="center"/>
              <w:rPr>
                <w:rFonts w:eastAsia="宋体" w:cs="Times New Roman"/>
                <w:b/>
                <w:bCs/>
                <w:szCs w:val="24"/>
              </w:rPr>
            </w:pPr>
          </w:p>
          <w:p>
            <w:pPr>
              <w:ind w:firstLine="0" w:firstLineChars="0"/>
              <w:jc w:val="center"/>
              <w:rPr>
                <w:rFonts w:eastAsia="宋体" w:cs="Times New Roman"/>
                <w:b/>
                <w:bCs/>
                <w:szCs w:val="24"/>
              </w:rPr>
            </w:pPr>
          </w:p>
          <w:p>
            <w:pPr>
              <w:ind w:firstLine="0" w:firstLineChars="0"/>
              <w:jc w:val="center"/>
              <w:rPr>
                <w:rFonts w:eastAsia="宋体" w:cs="Times New Roman"/>
                <w:b/>
                <w:bCs/>
                <w:szCs w:val="24"/>
              </w:rPr>
            </w:pPr>
          </w:p>
          <w:p>
            <w:pPr>
              <w:ind w:firstLine="0" w:firstLineChars="0"/>
              <w:jc w:val="center"/>
              <w:rPr>
                <w:rFonts w:eastAsia="宋体" w:cs="Times New Roman"/>
                <w:b/>
                <w:bCs/>
                <w:szCs w:val="24"/>
              </w:rPr>
            </w:pPr>
          </w:p>
          <w:p>
            <w:pPr>
              <w:ind w:firstLine="0" w:firstLineChars="0"/>
              <w:jc w:val="center"/>
              <w:rPr>
                <w:rFonts w:eastAsia="宋体" w:cs="Times New Roman"/>
                <w:b/>
                <w:bCs/>
                <w:szCs w:val="24"/>
              </w:rPr>
            </w:pPr>
          </w:p>
          <w:p>
            <w:pPr>
              <w:ind w:firstLine="0" w:firstLineChars="0"/>
              <w:jc w:val="center"/>
              <w:rPr>
                <w:rFonts w:eastAsia="宋体" w:cs="Times New Roman"/>
                <w:b/>
                <w:bCs/>
                <w:szCs w:val="24"/>
              </w:rPr>
            </w:pPr>
          </w:p>
          <w:p>
            <w:pPr>
              <w:ind w:firstLine="0" w:firstLineChars="0"/>
              <w:jc w:val="center"/>
              <w:rPr>
                <w:rFonts w:eastAsia="宋体" w:cs="Times New Roman"/>
                <w:b/>
                <w:bCs/>
                <w:szCs w:val="24"/>
              </w:rPr>
            </w:pPr>
          </w:p>
          <w:p>
            <w:pPr>
              <w:ind w:firstLine="0" w:firstLineChars="0"/>
            </w:pPr>
          </w:p>
        </w:tc>
      </w:tr>
    </w:tbl>
    <w:p>
      <w:pPr>
        <w:widowControl/>
        <w:ind w:firstLine="480"/>
        <w:jc w:val="left"/>
        <w:rPr>
          <w:rFonts w:cs="Times New Roman" w:asciiTheme="minorEastAsia" w:hAnsiTheme="minorEastAsia"/>
          <w:szCs w:val="20"/>
        </w:rPr>
      </w:pPr>
      <w:r>
        <w:rPr>
          <w:rFonts w:cs="Times New Roman" w:asciiTheme="minorEastAsia" w:hAnsiTheme="minorEastAsia"/>
          <w:szCs w:val="20"/>
        </w:rPr>
        <w:br w:type="textWrapping" w:clear="all"/>
      </w:r>
      <w:r>
        <w:rPr>
          <w:rFonts w:cs="Times New Roman" w:asciiTheme="minorEastAsia" w:hAnsiTheme="minorEastAsia"/>
          <w:szCs w:val="20"/>
        </w:rPr>
        <w:br w:type="page"/>
      </w:r>
    </w:p>
    <w:p>
      <w:pPr>
        <w:pStyle w:val="4"/>
      </w:pPr>
      <w:bookmarkStart w:id="64" w:name="_Toc376855818"/>
      <w:bookmarkStart w:id="65" w:name="_Toc458883643"/>
      <w:bookmarkStart w:id="66" w:name="_Toc341946649"/>
      <w:bookmarkStart w:id="67" w:name="_Toc68101069"/>
      <w:r>
        <w:rPr>
          <w:rFonts w:hint="eastAsia"/>
        </w:rPr>
        <w:t>五、</w:t>
      </w:r>
      <w:bookmarkEnd w:id="64"/>
      <w:bookmarkEnd w:id="65"/>
      <w:bookmarkEnd w:id="66"/>
      <w:r>
        <w:rPr>
          <w:rFonts w:hint="eastAsia"/>
        </w:rPr>
        <w:t>环境保护措施监督检查清单</w:t>
      </w:r>
      <w:bookmarkEnd w:id="67"/>
    </w:p>
    <w:tbl>
      <w:tblPr>
        <w:tblStyle w:val="36"/>
        <w:tblW w:w="92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5"/>
        <w:gridCol w:w="1814"/>
        <w:gridCol w:w="1675"/>
        <w:gridCol w:w="2412"/>
        <w:gridCol w:w="2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75" w:type="dxa"/>
            <w:tcBorders>
              <w:tl2br w:val="single" w:color="auto" w:sz="12" w:space="0"/>
            </w:tcBorders>
          </w:tcPr>
          <w:p>
            <w:pPr>
              <w:adjustRightInd w:val="0"/>
              <w:snapToGrid w:val="0"/>
              <w:ind w:firstLine="0" w:firstLineChars="0"/>
              <w:jc w:val="right"/>
              <w:rPr>
                <w:rFonts w:ascii="宋体" w:hAnsi="宋体" w:cs="宋体"/>
                <w:sz w:val="21"/>
                <w:szCs w:val="21"/>
              </w:rPr>
            </w:pPr>
            <w:r>
              <w:rPr>
                <w:rFonts w:hint="eastAsia" w:ascii="宋体" w:hAnsi="宋体" w:cs="宋体"/>
                <w:sz w:val="21"/>
                <w:szCs w:val="21"/>
              </w:rPr>
              <w:t>内容</w:t>
            </w:r>
          </w:p>
          <w:p>
            <w:pPr>
              <w:adjustRightInd w:val="0"/>
              <w:snapToGrid w:val="0"/>
              <w:ind w:firstLine="0" w:firstLineChars="0"/>
              <w:rPr>
                <w:rFonts w:ascii="宋体" w:hAnsi="宋体" w:cs="宋体"/>
                <w:sz w:val="21"/>
                <w:szCs w:val="21"/>
              </w:rPr>
            </w:pPr>
            <w:r>
              <w:rPr>
                <w:rFonts w:hint="eastAsia" w:ascii="宋体" w:hAnsi="宋体" w:cs="宋体"/>
                <w:sz w:val="21"/>
                <w:szCs w:val="21"/>
              </w:rPr>
              <w:t>要素</w:t>
            </w:r>
          </w:p>
        </w:tc>
        <w:tc>
          <w:tcPr>
            <w:tcW w:w="1814" w:type="dxa"/>
            <w:vAlign w:val="center"/>
          </w:tcPr>
          <w:p>
            <w:pPr>
              <w:adjustRightInd w:val="0"/>
              <w:snapToGrid w:val="0"/>
              <w:ind w:firstLine="0" w:firstLineChars="0"/>
              <w:jc w:val="center"/>
              <w:rPr>
                <w:rFonts w:ascii="宋体" w:hAnsi="宋体" w:cs="宋体"/>
                <w:sz w:val="21"/>
                <w:szCs w:val="21"/>
              </w:rPr>
            </w:pPr>
            <w:r>
              <w:rPr>
                <w:rFonts w:hint="eastAsia" w:ascii="宋体" w:hAnsi="宋体" w:cs="宋体"/>
                <w:sz w:val="21"/>
                <w:szCs w:val="21"/>
              </w:rPr>
              <w:t>排放口(编号、</w:t>
            </w:r>
          </w:p>
          <w:p>
            <w:pPr>
              <w:adjustRightInd w:val="0"/>
              <w:snapToGrid w:val="0"/>
              <w:ind w:firstLine="0" w:firstLineChars="0"/>
              <w:jc w:val="center"/>
              <w:rPr>
                <w:rFonts w:ascii="宋体" w:hAnsi="宋体" w:cs="宋体"/>
                <w:sz w:val="21"/>
                <w:szCs w:val="21"/>
              </w:rPr>
            </w:pPr>
            <w:r>
              <w:rPr>
                <w:rFonts w:hint="eastAsia" w:ascii="宋体" w:hAnsi="宋体" w:cs="宋体"/>
                <w:sz w:val="21"/>
                <w:szCs w:val="21"/>
              </w:rPr>
              <w:t>名称)/污染源</w:t>
            </w:r>
          </w:p>
        </w:tc>
        <w:tc>
          <w:tcPr>
            <w:tcW w:w="1675" w:type="dxa"/>
            <w:vAlign w:val="center"/>
          </w:tcPr>
          <w:p>
            <w:pPr>
              <w:adjustRightInd w:val="0"/>
              <w:snapToGrid w:val="0"/>
              <w:ind w:firstLine="0" w:firstLineChars="0"/>
              <w:jc w:val="center"/>
              <w:rPr>
                <w:rFonts w:ascii="宋体" w:hAnsi="宋体" w:cs="宋体"/>
                <w:sz w:val="21"/>
                <w:szCs w:val="21"/>
              </w:rPr>
            </w:pPr>
            <w:r>
              <w:rPr>
                <w:rFonts w:hint="eastAsia" w:ascii="宋体" w:hAnsi="宋体" w:cs="宋体"/>
                <w:sz w:val="21"/>
                <w:szCs w:val="21"/>
              </w:rPr>
              <w:t>污染物项目</w:t>
            </w:r>
          </w:p>
        </w:tc>
        <w:tc>
          <w:tcPr>
            <w:tcW w:w="2412" w:type="dxa"/>
            <w:vAlign w:val="center"/>
          </w:tcPr>
          <w:p>
            <w:pPr>
              <w:adjustRightInd w:val="0"/>
              <w:snapToGrid w:val="0"/>
              <w:ind w:firstLine="0" w:firstLineChars="0"/>
              <w:jc w:val="center"/>
              <w:rPr>
                <w:rFonts w:ascii="宋体" w:hAnsi="宋体" w:cs="宋体"/>
                <w:sz w:val="21"/>
                <w:szCs w:val="21"/>
              </w:rPr>
            </w:pPr>
            <w:r>
              <w:rPr>
                <w:rFonts w:hint="eastAsia" w:ascii="宋体" w:hAnsi="宋体" w:cs="宋体"/>
                <w:sz w:val="21"/>
                <w:szCs w:val="21"/>
              </w:rPr>
              <w:t>环境保护措施</w:t>
            </w:r>
          </w:p>
        </w:tc>
        <w:tc>
          <w:tcPr>
            <w:tcW w:w="2190" w:type="dxa"/>
            <w:vAlign w:val="center"/>
          </w:tcPr>
          <w:p>
            <w:pPr>
              <w:adjustRightInd w:val="0"/>
              <w:snapToGrid w:val="0"/>
              <w:ind w:firstLine="0" w:firstLineChars="0"/>
              <w:jc w:val="center"/>
              <w:rPr>
                <w:rFonts w:ascii="宋体" w:hAnsi="宋体" w:cs="宋体"/>
                <w:sz w:val="21"/>
                <w:szCs w:val="21"/>
              </w:rPr>
            </w:pPr>
            <w:r>
              <w:rPr>
                <w:rFonts w:hint="eastAsia" w:ascii="宋体" w:hAnsi="宋体" w:cs="宋体"/>
                <w:sz w:val="21"/>
                <w:szCs w:val="21"/>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1175" w:type="dxa"/>
            <w:vMerge w:val="restart"/>
            <w:vAlign w:val="center"/>
          </w:tcPr>
          <w:p>
            <w:pPr>
              <w:adjustRightInd w:val="0"/>
              <w:snapToGrid w:val="0"/>
              <w:ind w:firstLine="0" w:firstLineChars="0"/>
              <w:jc w:val="center"/>
              <w:rPr>
                <w:rFonts w:ascii="宋体" w:hAnsi="宋体" w:cs="宋体"/>
                <w:sz w:val="21"/>
                <w:szCs w:val="21"/>
              </w:rPr>
            </w:pPr>
            <w:r>
              <w:rPr>
                <w:rFonts w:hint="eastAsia" w:ascii="宋体" w:hAnsi="宋体" w:cs="宋体"/>
                <w:sz w:val="21"/>
                <w:szCs w:val="21"/>
              </w:rPr>
              <w:t>大气环境</w:t>
            </w:r>
          </w:p>
        </w:tc>
        <w:tc>
          <w:tcPr>
            <w:tcW w:w="1814" w:type="dxa"/>
            <w:tcBorders>
              <w:bottom w:val="single" w:color="auto" w:sz="4" w:space="0"/>
            </w:tcBorders>
            <w:vAlign w:val="center"/>
          </w:tcPr>
          <w:p>
            <w:pPr>
              <w:pStyle w:val="146"/>
              <w:rPr>
                <w:rFonts w:ascii="宋体" w:hAnsi="宋体" w:cs="宋体"/>
                <w:szCs w:val="21"/>
              </w:rPr>
            </w:pPr>
            <w:r>
              <w:rPr>
                <w:rFonts w:hint="eastAsia"/>
                <w:szCs w:val="21"/>
              </w:rPr>
              <w:t>化粪池、医疗废物暂存间</w:t>
            </w:r>
          </w:p>
        </w:tc>
        <w:tc>
          <w:tcPr>
            <w:tcW w:w="1675" w:type="dxa"/>
            <w:tcBorders>
              <w:bottom w:val="single" w:color="auto" w:sz="4" w:space="0"/>
            </w:tcBorders>
            <w:vAlign w:val="center"/>
          </w:tcPr>
          <w:p>
            <w:pPr>
              <w:pStyle w:val="146"/>
              <w:rPr>
                <w:szCs w:val="21"/>
              </w:rPr>
            </w:pPr>
            <w:r>
              <w:rPr>
                <w:rFonts w:hint="eastAsia"/>
                <w:szCs w:val="21"/>
              </w:rPr>
              <w:t>异味</w:t>
            </w:r>
          </w:p>
        </w:tc>
        <w:tc>
          <w:tcPr>
            <w:tcW w:w="2412" w:type="dxa"/>
            <w:vMerge w:val="restart"/>
            <w:vAlign w:val="center"/>
          </w:tcPr>
          <w:p>
            <w:pPr>
              <w:pStyle w:val="146"/>
              <w:rPr>
                <w:rFonts w:ascii="宋体" w:hAnsi="宋体" w:cs="宋体"/>
                <w:szCs w:val="21"/>
              </w:rPr>
            </w:pPr>
            <w:r>
              <w:rPr>
                <w:rFonts w:hint="eastAsia"/>
                <w:szCs w:val="21"/>
              </w:rPr>
              <w:t>污水处理站位于卫生院东侧距离住院楼等人群密集的地方较</w:t>
            </w:r>
          </w:p>
          <w:p>
            <w:pPr>
              <w:pStyle w:val="146"/>
              <w:rPr>
                <w:rFonts w:ascii="宋体" w:hAnsi="宋体" w:cs="宋体"/>
                <w:szCs w:val="21"/>
              </w:rPr>
            </w:pPr>
            <w:r>
              <w:rPr>
                <w:rFonts w:hint="eastAsia"/>
                <w:szCs w:val="21"/>
              </w:rPr>
              <w:t>远，并且周围设置绿化带</w:t>
            </w:r>
          </w:p>
        </w:tc>
        <w:tc>
          <w:tcPr>
            <w:tcW w:w="2190" w:type="dxa"/>
            <w:tcBorders>
              <w:bottom w:val="single" w:color="auto" w:sz="4" w:space="0"/>
            </w:tcBorders>
            <w:vAlign w:val="center"/>
          </w:tcPr>
          <w:p>
            <w:pPr>
              <w:adjustRightInd w:val="0"/>
              <w:snapToGrid w:val="0"/>
              <w:ind w:firstLine="0" w:firstLineChars="0"/>
              <w:jc w:val="center"/>
              <w:rPr>
                <w:rFonts w:ascii="宋体" w:hAnsi="宋体" w:cs="宋体"/>
                <w:sz w:val="21"/>
                <w:szCs w:val="21"/>
              </w:rPr>
            </w:pPr>
            <w:r>
              <w:rPr>
                <w:rFonts w:hint="eastAsia" w:ascii="宋体" w:hAnsi="宋体" w:cs="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1175" w:type="dxa"/>
            <w:vMerge w:val="continue"/>
            <w:vAlign w:val="center"/>
          </w:tcPr>
          <w:p>
            <w:pPr>
              <w:adjustRightInd w:val="0"/>
              <w:snapToGrid w:val="0"/>
              <w:ind w:firstLine="0" w:firstLineChars="0"/>
              <w:jc w:val="center"/>
              <w:rPr>
                <w:rFonts w:ascii="宋体" w:hAnsi="宋体" w:cs="宋体"/>
                <w:sz w:val="21"/>
                <w:szCs w:val="21"/>
              </w:rPr>
            </w:pPr>
          </w:p>
        </w:tc>
        <w:tc>
          <w:tcPr>
            <w:tcW w:w="1814" w:type="dxa"/>
            <w:tcBorders>
              <w:top w:val="single" w:color="auto" w:sz="4" w:space="0"/>
            </w:tcBorders>
            <w:vAlign w:val="center"/>
          </w:tcPr>
          <w:p>
            <w:pPr>
              <w:pStyle w:val="146"/>
              <w:rPr>
                <w:szCs w:val="21"/>
              </w:rPr>
            </w:pPr>
            <w:r>
              <w:rPr>
                <w:szCs w:val="21"/>
              </w:rPr>
              <w:t>污</w:t>
            </w:r>
            <w:r>
              <w:rPr>
                <w:rFonts w:hint="eastAsia"/>
                <w:szCs w:val="21"/>
              </w:rPr>
              <w:t>水</w:t>
            </w:r>
            <w:r>
              <w:rPr>
                <w:szCs w:val="21"/>
              </w:rPr>
              <w:t>处</w:t>
            </w:r>
            <w:r>
              <w:rPr>
                <w:rFonts w:hint="eastAsia"/>
                <w:szCs w:val="21"/>
              </w:rPr>
              <w:t>理站</w:t>
            </w:r>
          </w:p>
        </w:tc>
        <w:tc>
          <w:tcPr>
            <w:tcW w:w="1675" w:type="dxa"/>
            <w:tcBorders>
              <w:top w:val="single" w:color="auto" w:sz="4" w:space="0"/>
            </w:tcBorders>
            <w:vAlign w:val="center"/>
          </w:tcPr>
          <w:p>
            <w:pPr>
              <w:pStyle w:val="146"/>
              <w:rPr>
                <w:szCs w:val="21"/>
              </w:rPr>
            </w:pPr>
            <w:r>
              <w:rPr>
                <w:rFonts w:hint="eastAsia"/>
                <w:szCs w:val="21"/>
              </w:rPr>
              <w:t>异味（氨、硫化氢、臭气浓度）</w:t>
            </w:r>
          </w:p>
        </w:tc>
        <w:tc>
          <w:tcPr>
            <w:tcW w:w="2412" w:type="dxa"/>
            <w:vMerge w:val="continue"/>
            <w:vAlign w:val="center"/>
          </w:tcPr>
          <w:p>
            <w:pPr>
              <w:pStyle w:val="146"/>
              <w:rPr>
                <w:szCs w:val="21"/>
              </w:rPr>
            </w:pPr>
          </w:p>
        </w:tc>
        <w:tc>
          <w:tcPr>
            <w:tcW w:w="2190" w:type="dxa"/>
            <w:tcBorders>
              <w:top w:val="single" w:color="auto" w:sz="4" w:space="0"/>
            </w:tcBorders>
            <w:vAlign w:val="center"/>
          </w:tcPr>
          <w:p>
            <w:pPr>
              <w:pStyle w:val="146"/>
              <w:rPr>
                <w:rFonts w:ascii="宋体" w:hAnsi="宋体" w:cs="宋体"/>
                <w:szCs w:val="21"/>
              </w:rPr>
            </w:pPr>
            <w:r>
              <w:rPr>
                <w:szCs w:val="21"/>
              </w:rPr>
              <w:t>执行《医疗机构水污染物排放标准》（GB 18466－2005）表3中</w:t>
            </w:r>
            <w:r>
              <w:rPr>
                <w:rFonts w:hint="eastAsia"/>
                <w:szCs w:val="21"/>
              </w:rPr>
              <w:t>污水处理站周边大气污染物最高允许浓度</w:t>
            </w:r>
            <w:r>
              <w:rPr>
                <w:szCs w:val="21"/>
              </w:rPr>
              <w:t>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75" w:type="dxa"/>
            <w:vMerge w:val="restart"/>
            <w:vAlign w:val="center"/>
          </w:tcPr>
          <w:p>
            <w:pPr>
              <w:adjustRightInd w:val="0"/>
              <w:snapToGrid w:val="0"/>
              <w:ind w:firstLine="0" w:firstLineChars="0"/>
              <w:jc w:val="center"/>
              <w:rPr>
                <w:rFonts w:ascii="宋体" w:hAnsi="宋体" w:cs="宋体"/>
                <w:sz w:val="21"/>
                <w:szCs w:val="21"/>
              </w:rPr>
            </w:pPr>
            <w:r>
              <w:rPr>
                <w:rFonts w:hint="eastAsia" w:ascii="宋体" w:hAnsi="宋体" w:cs="宋体"/>
                <w:sz w:val="21"/>
                <w:szCs w:val="21"/>
              </w:rPr>
              <w:t>地表水环境</w:t>
            </w:r>
          </w:p>
        </w:tc>
        <w:tc>
          <w:tcPr>
            <w:tcW w:w="1814" w:type="dxa"/>
            <w:vMerge w:val="restart"/>
            <w:vAlign w:val="center"/>
          </w:tcPr>
          <w:p>
            <w:pPr>
              <w:pStyle w:val="146"/>
              <w:rPr>
                <w:szCs w:val="21"/>
              </w:rPr>
            </w:pPr>
            <w:r>
              <w:rPr>
                <w:rFonts w:hint="eastAsia"/>
                <w:szCs w:val="21"/>
              </w:rPr>
              <w:t>污水排放口（DW001）</w:t>
            </w:r>
          </w:p>
        </w:tc>
        <w:tc>
          <w:tcPr>
            <w:tcW w:w="1675" w:type="dxa"/>
            <w:vMerge w:val="restart"/>
            <w:vAlign w:val="center"/>
          </w:tcPr>
          <w:p>
            <w:pPr>
              <w:pStyle w:val="146"/>
              <w:rPr>
                <w:szCs w:val="21"/>
              </w:rPr>
            </w:pPr>
            <w:r>
              <w:rPr>
                <w:rFonts w:hint="eastAsia"/>
                <w:szCs w:val="21"/>
              </w:rPr>
              <w:t>pH、CODcr、BOD5、SS、氨氮、粪大肠菌群数、阴离子表面活性剂、总余氯等</w:t>
            </w:r>
          </w:p>
        </w:tc>
        <w:tc>
          <w:tcPr>
            <w:tcW w:w="2412" w:type="dxa"/>
            <w:vMerge w:val="restart"/>
            <w:vAlign w:val="center"/>
          </w:tcPr>
          <w:p>
            <w:pPr>
              <w:pStyle w:val="146"/>
              <w:rPr>
                <w:rFonts w:ascii="宋体" w:hAnsi="宋体" w:cs="宋体"/>
                <w:szCs w:val="21"/>
              </w:rPr>
            </w:pPr>
            <w:r>
              <w:rPr>
                <w:rFonts w:hint="eastAsia" w:ascii="宋体" w:hAnsi="宋体" w:cs="宋体"/>
                <w:szCs w:val="21"/>
              </w:rPr>
              <w:t>隔油池、化粪池，一体化污水处理站采用</w:t>
            </w:r>
            <w:r>
              <w:rPr>
                <w:rFonts w:hint="eastAsia"/>
                <w:szCs w:val="21"/>
              </w:rPr>
              <w:t>“二级处理工艺”（调节池→生物氧化→接触消毒）</w:t>
            </w:r>
          </w:p>
        </w:tc>
        <w:tc>
          <w:tcPr>
            <w:tcW w:w="2190" w:type="dxa"/>
            <w:vAlign w:val="center"/>
          </w:tcPr>
          <w:p>
            <w:pPr>
              <w:pStyle w:val="146"/>
              <w:rPr>
                <w:rFonts w:ascii="宋体" w:hAnsi="宋体" w:cs="宋体"/>
                <w:szCs w:val="21"/>
              </w:rPr>
            </w:pPr>
            <w:r>
              <w:rPr>
                <w:rFonts w:hint="eastAsia"/>
                <w:b/>
                <w:bCs/>
                <w:szCs w:val="21"/>
              </w:rPr>
              <w:t>污水管网建成前：</w:t>
            </w:r>
            <w:r>
              <w:rPr>
                <w:szCs w:val="21"/>
              </w:rPr>
              <w:t>《医疗机构水污染物排放标准》</w:t>
            </w:r>
            <w:r>
              <w:rPr>
                <w:rFonts w:hint="eastAsia"/>
                <w:szCs w:val="21"/>
              </w:rPr>
              <w:t>（</w:t>
            </w:r>
            <w:r>
              <w:rPr>
                <w:szCs w:val="21"/>
              </w:rPr>
              <w:t>GB18466-2005</w:t>
            </w:r>
            <w:r>
              <w:rPr>
                <w:rFonts w:hint="eastAsia"/>
                <w:szCs w:val="21"/>
              </w:rPr>
              <w:t>）</w:t>
            </w:r>
            <w:r>
              <w:rPr>
                <w:szCs w:val="21"/>
              </w:rPr>
              <w:t>表2中</w:t>
            </w:r>
            <w:r>
              <w:rPr>
                <w:rFonts w:hint="eastAsia"/>
                <w:szCs w:val="21"/>
              </w:rPr>
              <w:t>排放</w:t>
            </w:r>
            <w:r>
              <w:rPr>
                <w:szCs w:val="21"/>
              </w:rPr>
              <w:t>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75" w:type="dxa"/>
            <w:vMerge w:val="continue"/>
            <w:vAlign w:val="center"/>
          </w:tcPr>
          <w:p>
            <w:pPr>
              <w:adjustRightInd w:val="0"/>
              <w:snapToGrid w:val="0"/>
              <w:ind w:firstLine="0" w:firstLineChars="0"/>
              <w:jc w:val="center"/>
              <w:rPr>
                <w:rFonts w:ascii="宋体" w:hAnsi="宋体" w:cs="宋体"/>
                <w:sz w:val="21"/>
                <w:szCs w:val="21"/>
              </w:rPr>
            </w:pPr>
          </w:p>
        </w:tc>
        <w:tc>
          <w:tcPr>
            <w:tcW w:w="1814" w:type="dxa"/>
            <w:vMerge w:val="continue"/>
            <w:vAlign w:val="center"/>
          </w:tcPr>
          <w:p>
            <w:pPr>
              <w:pStyle w:val="146"/>
              <w:rPr>
                <w:szCs w:val="21"/>
              </w:rPr>
            </w:pPr>
          </w:p>
        </w:tc>
        <w:tc>
          <w:tcPr>
            <w:tcW w:w="1675" w:type="dxa"/>
            <w:vMerge w:val="continue"/>
            <w:vAlign w:val="center"/>
          </w:tcPr>
          <w:p>
            <w:pPr>
              <w:pStyle w:val="146"/>
              <w:rPr>
                <w:szCs w:val="21"/>
              </w:rPr>
            </w:pPr>
          </w:p>
        </w:tc>
        <w:tc>
          <w:tcPr>
            <w:tcW w:w="2412" w:type="dxa"/>
            <w:vMerge w:val="continue"/>
            <w:vAlign w:val="center"/>
          </w:tcPr>
          <w:p>
            <w:pPr>
              <w:pStyle w:val="146"/>
              <w:rPr>
                <w:rFonts w:ascii="宋体" w:hAnsi="宋体" w:cs="宋体"/>
                <w:szCs w:val="21"/>
              </w:rPr>
            </w:pPr>
          </w:p>
        </w:tc>
        <w:tc>
          <w:tcPr>
            <w:tcW w:w="2190" w:type="dxa"/>
            <w:vAlign w:val="center"/>
          </w:tcPr>
          <w:p>
            <w:pPr>
              <w:pStyle w:val="146"/>
              <w:rPr>
                <w:szCs w:val="21"/>
              </w:rPr>
            </w:pPr>
            <w:r>
              <w:rPr>
                <w:rFonts w:hint="eastAsia"/>
                <w:b/>
                <w:bCs/>
                <w:szCs w:val="21"/>
              </w:rPr>
              <w:t>污水管网建成后：</w:t>
            </w:r>
            <w:r>
              <w:rPr>
                <w:rFonts w:hint="eastAsia"/>
              </w:rPr>
              <w:t>《医疗机构水污染物排放标准》GB18466-2005表2中预处理标准和《污水排入城镇下水道水质标准》（</w:t>
            </w:r>
            <w:r>
              <w:t>GB/T31962-2015</w:t>
            </w:r>
            <w:r>
              <w:rPr>
                <w:rFonts w:hint="eastAsia"/>
              </w:rPr>
              <w:t>）表</w:t>
            </w:r>
            <w:r>
              <w:t>1</w:t>
            </w:r>
            <w:r>
              <w:rPr>
                <w:rFonts w:hint="eastAsia"/>
              </w:rPr>
              <w:t>（</w:t>
            </w:r>
            <w:r>
              <w:t xml:space="preserve">A </w:t>
            </w:r>
            <w:r>
              <w:rPr>
                <w:rFonts w:hint="eastAsia"/>
              </w:rPr>
              <w:t>等级）标准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75" w:type="dxa"/>
            <w:vAlign w:val="center"/>
          </w:tcPr>
          <w:p>
            <w:pPr>
              <w:adjustRightInd w:val="0"/>
              <w:snapToGrid w:val="0"/>
              <w:ind w:firstLine="0" w:firstLineChars="0"/>
              <w:jc w:val="center"/>
              <w:rPr>
                <w:rFonts w:ascii="宋体" w:hAnsi="宋体" w:cs="宋体"/>
                <w:sz w:val="21"/>
                <w:szCs w:val="21"/>
              </w:rPr>
            </w:pPr>
            <w:r>
              <w:rPr>
                <w:rFonts w:hint="eastAsia" w:ascii="宋体" w:hAnsi="宋体" w:cs="宋体"/>
                <w:sz w:val="21"/>
                <w:szCs w:val="21"/>
              </w:rPr>
              <w:t>声环境</w:t>
            </w:r>
          </w:p>
        </w:tc>
        <w:tc>
          <w:tcPr>
            <w:tcW w:w="1814" w:type="dxa"/>
            <w:vAlign w:val="center"/>
          </w:tcPr>
          <w:p>
            <w:pPr>
              <w:pStyle w:val="146"/>
              <w:rPr>
                <w:rFonts w:ascii="宋体" w:hAnsi="宋体" w:cs="宋体"/>
                <w:szCs w:val="21"/>
              </w:rPr>
            </w:pPr>
            <w:r>
              <w:rPr>
                <w:rFonts w:hint="eastAsia"/>
                <w:szCs w:val="21"/>
              </w:rPr>
              <w:t>污水处理站运行时的水泵、风机</w:t>
            </w:r>
          </w:p>
        </w:tc>
        <w:tc>
          <w:tcPr>
            <w:tcW w:w="1675" w:type="dxa"/>
            <w:vAlign w:val="center"/>
          </w:tcPr>
          <w:p>
            <w:pPr>
              <w:pStyle w:val="146"/>
              <w:rPr>
                <w:szCs w:val="21"/>
              </w:rPr>
            </w:pPr>
            <w:r>
              <w:rPr>
                <w:rFonts w:hint="eastAsia"/>
                <w:szCs w:val="21"/>
              </w:rPr>
              <w:t>连续等效A声级</w:t>
            </w:r>
          </w:p>
        </w:tc>
        <w:tc>
          <w:tcPr>
            <w:tcW w:w="2412" w:type="dxa"/>
            <w:vAlign w:val="center"/>
          </w:tcPr>
          <w:p>
            <w:pPr>
              <w:pStyle w:val="146"/>
              <w:rPr>
                <w:rFonts w:ascii="宋体" w:hAnsi="宋体" w:cs="宋体"/>
                <w:szCs w:val="21"/>
              </w:rPr>
            </w:pPr>
            <w:r>
              <w:rPr>
                <w:rFonts w:hint="eastAsia"/>
                <w:szCs w:val="21"/>
              </w:rPr>
              <w:t>选用优质低噪声的风机，风机置于密闭的专门风机柜内，风机底座和基础安装减震设施，同时将风机柜设置成半地埋式</w:t>
            </w:r>
          </w:p>
        </w:tc>
        <w:tc>
          <w:tcPr>
            <w:tcW w:w="2190" w:type="dxa"/>
            <w:vAlign w:val="center"/>
          </w:tcPr>
          <w:p>
            <w:pPr>
              <w:pStyle w:val="146"/>
              <w:rPr>
                <w:szCs w:val="21"/>
              </w:rPr>
            </w:pPr>
            <w:r>
              <w:rPr>
                <w:rFonts w:hint="eastAsia"/>
                <w:szCs w:val="21"/>
              </w:rPr>
              <w:t>《工业企业厂界环境噪声排放标准》（GB12348—2008）2类标准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75" w:type="dxa"/>
            <w:vAlign w:val="center"/>
          </w:tcPr>
          <w:p>
            <w:pPr>
              <w:adjustRightInd w:val="0"/>
              <w:snapToGrid w:val="0"/>
              <w:ind w:firstLine="0" w:firstLineChars="0"/>
              <w:jc w:val="center"/>
              <w:rPr>
                <w:rFonts w:ascii="宋体" w:hAnsi="宋体" w:cs="宋体"/>
                <w:sz w:val="21"/>
                <w:szCs w:val="21"/>
              </w:rPr>
            </w:pPr>
            <w:r>
              <w:rPr>
                <w:rFonts w:hint="eastAsia" w:ascii="宋体" w:hAnsi="宋体" w:cs="宋体"/>
                <w:sz w:val="21"/>
                <w:szCs w:val="21"/>
              </w:rPr>
              <w:t>电磁辐射</w:t>
            </w:r>
          </w:p>
        </w:tc>
        <w:tc>
          <w:tcPr>
            <w:tcW w:w="1814" w:type="dxa"/>
            <w:vAlign w:val="center"/>
          </w:tcPr>
          <w:p>
            <w:pPr>
              <w:adjustRightInd w:val="0"/>
              <w:snapToGrid w:val="0"/>
              <w:ind w:firstLine="0" w:firstLineChars="0"/>
              <w:jc w:val="center"/>
              <w:rPr>
                <w:rFonts w:ascii="宋体" w:hAnsi="宋体" w:cs="宋体"/>
                <w:sz w:val="21"/>
                <w:szCs w:val="21"/>
              </w:rPr>
            </w:pPr>
            <w:r>
              <w:rPr>
                <w:rFonts w:hint="eastAsia" w:ascii="宋体" w:hAnsi="宋体" w:cs="宋体"/>
                <w:sz w:val="21"/>
                <w:szCs w:val="21"/>
              </w:rPr>
              <w:t>/</w:t>
            </w:r>
          </w:p>
        </w:tc>
        <w:tc>
          <w:tcPr>
            <w:tcW w:w="1675" w:type="dxa"/>
            <w:vAlign w:val="center"/>
          </w:tcPr>
          <w:p>
            <w:pPr>
              <w:adjustRightInd w:val="0"/>
              <w:snapToGrid w:val="0"/>
              <w:ind w:firstLine="0" w:firstLineChars="0"/>
              <w:jc w:val="center"/>
              <w:rPr>
                <w:rFonts w:ascii="宋体" w:hAnsi="宋体" w:cs="宋体"/>
                <w:sz w:val="21"/>
                <w:szCs w:val="21"/>
              </w:rPr>
            </w:pPr>
            <w:r>
              <w:rPr>
                <w:rFonts w:hint="eastAsia" w:ascii="宋体" w:hAnsi="宋体" w:cs="宋体"/>
                <w:sz w:val="21"/>
                <w:szCs w:val="21"/>
              </w:rPr>
              <w:t>/</w:t>
            </w:r>
          </w:p>
        </w:tc>
        <w:tc>
          <w:tcPr>
            <w:tcW w:w="2412" w:type="dxa"/>
            <w:vAlign w:val="center"/>
          </w:tcPr>
          <w:p>
            <w:pPr>
              <w:adjustRightInd w:val="0"/>
              <w:snapToGrid w:val="0"/>
              <w:ind w:firstLine="0" w:firstLineChars="0"/>
              <w:jc w:val="center"/>
              <w:rPr>
                <w:rFonts w:ascii="宋体" w:hAnsi="宋体" w:cs="宋体"/>
                <w:sz w:val="21"/>
                <w:szCs w:val="21"/>
              </w:rPr>
            </w:pPr>
            <w:r>
              <w:rPr>
                <w:rFonts w:hint="eastAsia" w:ascii="宋体" w:hAnsi="宋体" w:cs="宋体"/>
                <w:sz w:val="21"/>
                <w:szCs w:val="21"/>
              </w:rPr>
              <w:t>/</w:t>
            </w:r>
          </w:p>
        </w:tc>
        <w:tc>
          <w:tcPr>
            <w:tcW w:w="2190" w:type="dxa"/>
            <w:vAlign w:val="center"/>
          </w:tcPr>
          <w:p>
            <w:pPr>
              <w:adjustRightInd w:val="0"/>
              <w:snapToGrid w:val="0"/>
              <w:ind w:firstLine="0" w:firstLineChars="0"/>
              <w:jc w:val="center"/>
              <w:rPr>
                <w:rFonts w:ascii="宋体" w:hAnsi="宋体" w:cs="宋体"/>
                <w:sz w:val="21"/>
                <w:szCs w:val="21"/>
              </w:rPr>
            </w:pPr>
            <w:r>
              <w:rPr>
                <w:rFonts w:hint="eastAsia" w:ascii="宋体" w:hAnsi="宋体" w:cs="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6" w:hRule="atLeast"/>
          <w:jc w:val="center"/>
        </w:trPr>
        <w:tc>
          <w:tcPr>
            <w:tcW w:w="1175" w:type="dxa"/>
            <w:vAlign w:val="center"/>
          </w:tcPr>
          <w:p>
            <w:pPr>
              <w:adjustRightInd w:val="0"/>
              <w:snapToGrid w:val="0"/>
              <w:ind w:firstLine="0" w:firstLineChars="0"/>
              <w:jc w:val="center"/>
              <w:rPr>
                <w:rFonts w:ascii="宋体" w:hAnsi="宋体" w:cs="宋体"/>
                <w:sz w:val="21"/>
                <w:szCs w:val="21"/>
              </w:rPr>
            </w:pPr>
            <w:r>
              <w:rPr>
                <w:rFonts w:hint="eastAsia" w:ascii="宋体" w:hAnsi="宋体" w:cs="宋体"/>
                <w:sz w:val="21"/>
                <w:szCs w:val="21"/>
              </w:rPr>
              <w:t>固体废物</w:t>
            </w:r>
          </w:p>
        </w:tc>
        <w:tc>
          <w:tcPr>
            <w:tcW w:w="8091" w:type="dxa"/>
            <w:gridSpan w:val="4"/>
            <w:vAlign w:val="center"/>
          </w:tcPr>
          <w:p>
            <w:pPr>
              <w:ind w:firstLine="420"/>
              <w:jc w:val="left"/>
              <w:rPr>
                <w:rFonts w:eastAsia="宋体" w:cs="Times New Roman"/>
                <w:sz w:val="21"/>
                <w:szCs w:val="21"/>
              </w:rPr>
            </w:pPr>
            <w:r>
              <w:rPr>
                <w:rFonts w:eastAsia="宋体" w:cs="Times New Roman"/>
                <w:sz w:val="21"/>
                <w:szCs w:val="21"/>
              </w:rPr>
              <w:fldChar w:fldCharType="begin"/>
            </w:r>
            <w:r>
              <w:rPr>
                <w:rFonts w:eastAsia="宋体" w:cs="Times New Roman"/>
                <w:sz w:val="21"/>
                <w:szCs w:val="21"/>
              </w:rPr>
              <w:instrText xml:space="preserve"> </w:instrText>
            </w:r>
            <w:r>
              <w:rPr>
                <w:rFonts w:hint="eastAsia" w:eastAsia="宋体" w:cs="Times New Roman"/>
                <w:sz w:val="21"/>
                <w:szCs w:val="21"/>
              </w:rPr>
              <w:instrText xml:space="preserve">= 1 \* GB3</w:instrText>
            </w:r>
            <w:r>
              <w:rPr>
                <w:rFonts w:eastAsia="宋体" w:cs="Times New Roman"/>
                <w:sz w:val="21"/>
                <w:szCs w:val="21"/>
              </w:rPr>
              <w:instrText xml:space="preserve"> </w:instrText>
            </w:r>
            <w:r>
              <w:rPr>
                <w:rFonts w:eastAsia="宋体" w:cs="Times New Roman"/>
                <w:sz w:val="21"/>
                <w:szCs w:val="21"/>
              </w:rPr>
              <w:fldChar w:fldCharType="separate"/>
            </w:r>
            <w:r>
              <w:rPr>
                <w:rFonts w:hint="eastAsia" w:eastAsia="宋体" w:cs="Times New Roman"/>
                <w:sz w:val="21"/>
                <w:szCs w:val="21"/>
              </w:rPr>
              <w:t>①</w:t>
            </w:r>
            <w:r>
              <w:rPr>
                <w:rFonts w:eastAsia="宋体" w:cs="Times New Roman"/>
                <w:sz w:val="21"/>
                <w:szCs w:val="21"/>
              </w:rPr>
              <w:fldChar w:fldCharType="end"/>
            </w:r>
            <w:r>
              <w:rPr>
                <w:rFonts w:hint="eastAsia" w:eastAsia="宋体" w:cs="Times New Roman"/>
                <w:sz w:val="21"/>
                <w:szCs w:val="21"/>
              </w:rPr>
              <w:t>生活垃圾</w:t>
            </w:r>
          </w:p>
          <w:p>
            <w:pPr>
              <w:ind w:firstLine="420"/>
              <w:jc w:val="left"/>
              <w:rPr>
                <w:rFonts w:eastAsia="宋体" w:cs="Times New Roman"/>
                <w:sz w:val="21"/>
                <w:szCs w:val="21"/>
              </w:rPr>
            </w:pPr>
            <w:r>
              <w:rPr>
                <w:rFonts w:hint="eastAsia" w:eastAsia="宋体" w:cs="Times New Roman"/>
                <w:sz w:val="21"/>
                <w:szCs w:val="21"/>
              </w:rPr>
              <w:t>生活垃圾经分类收集后可回收部分回收利用，不可回收部分收集于垃圾收集桶内，委托当地环卫部门定期清运处置。</w:t>
            </w:r>
          </w:p>
          <w:p>
            <w:pPr>
              <w:ind w:firstLine="420"/>
              <w:rPr>
                <w:sz w:val="21"/>
                <w:szCs w:val="21"/>
              </w:rPr>
            </w:pPr>
            <w:r>
              <w:rPr>
                <w:sz w:val="21"/>
                <w:szCs w:val="21"/>
              </w:rPr>
              <w:fldChar w:fldCharType="begin"/>
            </w:r>
            <w:r>
              <w:rPr>
                <w:sz w:val="21"/>
                <w:szCs w:val="21"/>
              </w:rPr>
              <w:instrText xml:space="preserve"> </w:instrText>
            </w:r>
            <w:r>
              <w:rPr>
                <w:rFonts w:hint="eastAsia"/>
                <w:sz w:val="21"/>
                <w:szCs w:val="21"/>
              </w:rPr>
              <w:instrText xml:space="preserve">= 2 \* GB3</w:instrText>
            </w:r>
            <w:r>
              <w:rPr>
                <w:sz w:val="21"/>
                <w:szCs w:val="21"/>
              </w:rPr>
              <w:instrText xml:space="preserve"> </w:instrText>
            </w:r>
            <w:r>
              <w:rPr>
                <w:sz w:val="21"/>
                <w:szCs w:val="21"/>
              </w:rPr>
              <w:fldChar w:fldCharType="separate"/>
            </w:r>
            <w:r>
              <w:rPr>
                <w:rFonts w:hint="eastAsia"/>
                <w:sz w:val="21"/>
                <w:szCs w:val="21"/>
              </w:rPr>
              <w:t>②</w:t>
            </w:r>
            <w:r>
              <w:rPr>
                <w:sz w:val="21"/>
                <w:szCs w:val="21"/>
              </w:rPr>
              <w:fldChar w:fldCharType="end"/>
            </w:r>
            <w:r>
              <w:rPr>
                <w:rFonts w:hint="eastAsia"/>
                <w:sz w:val="21"/>
                <w:szCs w:val="21"/>
              </w:rPr>
              <w:t>医疗废物</w:t>
            </w:r>
          </w:p>
          <w:p>
            <w:pPr>
              <w:ind w:firstLine="420"/>
              <w:rPr>
                <w:sz w:val="21"/>
                <w:szCs w:val="21"/>
              </w:rPr>
            </w:pPr>
            <w:r>
              <w:rPr>
                <w:rFonts w:hint="eastAsia"/>
                <w:sz w:val="21"/>
                <w:szCs w:val="21"/>
              </w:rPr>
              <w:t>严格按照《医疗废物管理条例》要求，对其收集、运送、贮存、处理处置过程统一监督管理，建设一座20m</w:t>
            </w:r>
            <w:r>
              <w:rPr>
                <w:rFonts w:hint="eastAsia"/>
                <w:sz w:val="21"/>
                <w:szCs w:val="21"/>
                <w:vertAlign w:val="superscript"/>
              </w:rPr>
              <w:t>2</w:t>
            </w:r>
            <w:r>
              <w:rPr>
                <w:rFonts w:hint="eastAsia"/>
                <w:sz w:val="21"/>
                <w:szCs w:val="21"/>
              </w:rPr>
              <w:t>的医疗废物暂存间，分类收集后定期委托有资质的单位处置。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6" w:hRule="atLeast"/>
          <w:jc w:val="center"/>
        </w:trPr>
        <w:tc>
          <w:tcPr>
            <w:tcW w:w="1175" w:type="dxa"/>
            <w:vAlign w:val="center"/>
          </w:tcPr>
          <w:p>
            <w:pPr>
              <w:adjustRightInd w:val="0"/>
              <w:snapToGrid w:val="0"/>
              <w:ind w:firstLine="0" w:firstLineChars="0"/>
              <w:jc w:val="center"/>
              <w:rPr>
                <w:rFonts w:ascii="宋体" w:hAnsi="宋体" w:cs="宋体"/>
                <w:sz w:val="21"/>
                <w:szCs w:val="21"/>
              </w:rPr>
            </w:pPr>
            <w:r>
              <w:rPr>
                <w:rFonts w:hint="eastAsia" w:ascii="宋体" w:hAnsi="宋体" w:cs="宋体"/>
                <w:sz w:val="21"/>
                <w:szCs w:val="21"/>
              </w:rPr>
              <w:t>土壤及地下水</w:t>
            </w:r>
          </w:p>
          <w:p>
            <w:pPr>
              <w:adjustRightInd w:val="0"/>
              <w:snapToGrid w:val="0"/>
              <w:ind w:firstLine="0" w:firstLineChars="0"/>
              <w:jc w:val="center"/>
              <w:rPr>
                <w:rFonts w:ascii="宋体" w:hAnsi="宋体" w:cs="宋体"/>
                <w:sz w:val="21"/>
                <w:szCs w:val="21"/>
              </w:rPr>
            </w:pPr>
            <w:r>
              <w:rPr>
                <w:rFonts w:hint="eastAsia" w:ascii="宋体" w:hAnsi="宋体" w:cs="宋体"/>
                <w:sz w:val="21"/>
                <w:szCs w:val="21"/>
              </w:rPr>
              <w:t>污染防治措施</w:t>
            </w:r>
          </w:p>
        </w:tc>
        <w:tc>
          <w:tcPr>
            <w:tcW w:w="8091" w:type="dxa"/>
            <w:gridSpan w:val="4"/>
            <w:vAlign w:val="center"/>
          </w:tcPr>
          <w:p>
            <w:pPr>
              <w:adjustRightInd w:val="0"/>
              <w:snapToGrid w:val="0"/>
              <w:ind w:firstLine="0" w:firstLineChars="0"/>
              <w:jc w:val="center"/>
              <w:rPr>
                <w:rFonts w:ascii="宋体" w:hAnsi="宋体" w:cs="宋体"/>
                <w:sz w:val="21"/>
                <w:szCs w:val="21"/>
              </w:rPr>
            </w:pPr>
            <w:r>
              <w:rPr>
                <w:rFonts w:hint="eastAsia" w:ascii="宋体" w:hAnsi="宋体" w:cs="宋体"/>
                <w:sz w:val="21"/>
                <w:szCs w:val="21"/>
              </w:rPr>
              <w:t>分区防渗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6" w:hRule="atLeast"/>
          <w:jc w:val="center"/>
        </w:trPr>
        <w:tc>
          <w:tcPr>
            <w:tcW w:w="1175" w:type="dxa"/>
            <w:vAlign w:val="center"/>
          </w:tcPr>
          <w:p>
            <w:pPr>
              <w:adjustRightInd w:val="0"/>
              <w:snapToGrid w:val="0"/>
              <w:ind w:firstLine="0" w:firstLineChars="0"/>
              <w:jc w:val="center"/>
              <w:rPr>
                <w:rFonts w:ascii="宋体" w:hAnsi="宋体" w:cs="宋体"/>
                <w:sz w:val="21"/>
                <w:szCs w:val="21"/>
              </w:rPr>
            </w:pPr>
            <w:r>
              <w:rPr>
                <w:rFonts w:hint="eastAsia" w:ascii="宋体" w:hAnsi="宋体" w:cs="宋体"/>
                <w:sz w:val="21"/>
                <w:szCs w:val="21"/>
              </w:rPr>
              <w:t>生态保护措施</w:t>
            </w:r>
          </w:p>
        </w:tc>
        <w:tc>
          <w:tcPr>
            <w:tcW w:w="8091" w:type="dxa"/>
            <w:gridSpan w:val="4"/>
            <w:vAlign w:val="center"/>
          </w:tcPr>
          <w:p>
            <w:pPr>
              <w:adjustRightInd w:val="0"/>
              <w:snapToGrid w:val="0"/>
              <w:ind w:firstLine="0" w:firstLineChars="0"/>
              <w:jc w:val="center"/>
              <w:rPr>
                <w:rFonts w:ascii="宋体" w:hAnsi="宋体" w:cs="宋体"/>
                <w:sz w:val="21"/>
                <w:szCs w:val="21"/>
              </w:rPr>
            </w:pPr>
            <w:r>
              <w:rPr>
                <w:rFonts w:hint="eastAsia" w:ascii="宋体" w:hAnsi="宋体" w:cs="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6" w:hRule="atLeast"/>
          <w:jc w:val="center"/>
        </w:trPr>
        <w:tc>
          <w:tcPr>
            <w:tcW w:w="1175" w:type="dxa"/>
            <w:vAlign w:val="center"/>
          </w:tcPr>
          <w:p>
            <w:pPr>
              <w:adjustRightInd w:val="0"/>
              <w:snapToGrid w:val="0"/>
              <w:ind w:firstLine="0" w:firstLineChars="0"/>
              <w:jc w:val="center"/>
              <w:rPr>
                <w:rFonts w:ascii="宋体" w:hAnsi="宋体" w:cs="宋体"/>
                <w:spacing w:val="-8"/>
                <w:sz w:val="21"/>
                <w:szCs w:val="21"/>
              </w:rPr>
            </w:pPr>
            <w:r>
              <w:rPr>
                <w:rFonts w:hint="eastAsia" w:ascii="宋体" w:hAnsi="宋体" w:cs="宋体"/>
                <w:spacing w:val="-8"/>
                <w:sz w:val="21"/>
                <w:szCs w:val="21"/>
              </w:rPr>
              <w:t>环境风险</w:t>
            </w:r>
          </w:p>
          <w:p>
            <w:pPr>
              <w:adjustRightInd w:val="0"/>
              <w:snapToGrid w:val="0"/>
              <w:ind w:firstLine="0" w:firstLineChars="0"/>
              <w:jc w:val="center"/>
              <w:rPr>
                <w:rFonts w:ascii="宋体" w:hAnsi="宋体" w:cs="宋体"/>
                <w:spacing w:val="-8"/>
                <w:sz w:val="21"/>
                <w:szCs w:val="21"/>
              </w:rPr>
            </w:pPr>
            <w:r>
              <w:rPr>
                <w:rFonts w:hint="eastAsia" w:ascii="宋体" w:hAnsi="宋体" w:cs="宋体"/>
                <w:spacing w:val="-8"/>
                <w:sz w:val="21"/>
                <w:szCs w:val="21"/>
              </w:rPr>
              <w:t>防范措施</w:t>
            </w:r>
          </w:p>
        </w:tc>
        <w:tc>
          <w:tcPr>
            <w:tcW w:w="8091" w:type="dxa"/>
            <w:gridSpan w:val="4"/>
            <w:vAlign w:val="center"/>
          </w:tcPr>
          <w:p>
            <w:pPr>
              <w:spacing w:line="240" w:lineRule="auto"/>
              <w:ind w:firstLine="0" w:firstLineChars="0"/>
              <w:rPr>
                <w:rFonts w:ascii="Arial" w:hAnsi="Arial" w:eastAsia="宋体" w:cs="Arial"/>
                <w:color w:val="333333"/>
                <w:sz w:val="21"/>
                <w:szCs w:val="21"/>
                <w:shd w:val="clear" w:color="auto" w:fill="FFFFFF"/>
              </w:rPr>
            </w:pPr>
            <w:r>
              <w:rPr>
                <w:rFonts w:hint="eastAsia" w:eastAsia="宋体" w:cs="Times New Roman"/>
                <w:color w:val="333333"/>
                <w:sz w:val="21"/>
                <w:szCs w:val="21"/>
                <w:shd w:val="clear" w:color="auto" w:fill="FFFFFF"/>
              </w:rPr>
              <w:t>（</w:t>
            </w:r>
            <w:r>
              <w:rPr>
                <w:rFonts w:eastAsia="宋体" w:cs="Times New Roman"/>
                <w:color w:val="333333"/>
                <w:sz w:val="21"/>
                <w:szCs w:val="21"/>
                <w:shd w:val="clear" w:color="auto" w:fill="FFFFFF"/>
              </w:rPr>
              <w:t>1</w:t>
            </w:r>
            <w:r>
              <w:rPr>
                <w:rFonts w:hAnsi="Arial" w:eastAsia="宋体" w:cs="Times New Roman"/>
                <w:color w:val="333333"/>
                <w:sz w:val="21"/>
                <w:szCs w:val="21"/>
                <w:shd w:val="clear" w:color="auto" w:fill="FFFFFF"/>
              </w:rPr>
              <w:t>）</w:t>
            </w:r>
            <w:r>
              <w:rPr>
                <w:rFonts w:hint="eastAsia" w:ascii="Arial" w:hAnsi="Arial" w:eastAsia="宋体" w:cs="Arial"/>
                <w:color w:val="333333"/>
                <w:sz w:val="21"/>
                <w:szCs w:val="21"/>
                <w:shd w:val="clear" w:color="auto" w:fill="FFFFFF"/>
              </w:rPr>
              <w:t>乙醇</w:t>
            </w:r>
            <w:r>
              <w:rPr>
                <w:rFonts w:hint="eastAsia" w:ascii="宋体" w:hAnsi="宋体" w:eastAsia="宋体" w:cs="宋体"/>
                <w:sz w:val="21"/>
                <w:szCs w:val="21"/>
              </w:rPr>
              <w:t>环境风险防范措施：</w:t>
            </w:r>
            <w:r>
              <w:rPr>
                <w:rFonts w:hint="eastAsia" w:ascii="Arial" w:hAnsi="Arial" w:eastAsia="宋体" w:cs="Arial"/>
                <w:color w:val="333333"/>
                <w:sz w:val="21"/>
                <w:szCs w:val="21"/>
                <w:shd w:val="clear" w:color="auto" w:fill="FFFFFF"/>
              </w:rPr>
              <w:t>①</w:t>
            </w:r>
            <w:r>
              <w:rPr>
                <w:rFonts w:ascii="Arial" w:hAnsi="Arial" w:eastAsia="宋体" w:cs="Arial"/>
                <w:color w:val="333333"/>
                <w:sz w:val="21"/>
                <w:szCs w:val="21"/>
                <w:shd w:val="clear" w:color="auto" w:fill="FFFFFF"/>
              </w:rPr>
              <w:t>暂存、领用时，量不能过大。</w:t>
            </w:r>
            <w:r>
              <w:rPr>
                <w:rFonts w:hint="eastAsia" w:ascii="Arial" w:hAnsi="Arial" w:eastAsia="宋体" w:cs="Arial"/>
                <w:color w:val="333333"/>
                <w:sz w:val="21"/>
                <w:szCs w:val="21"/>
                <w:shd w:val="clear" w:color="auto" w:fill="FFFFFF"/>
              </w:rPr>
              <w:t>②应</w:t>
            </w:r>
            <w:r>
              <w:rPr>
                <w:rFonts w:ascii="Arial" w:hAnsi="Arial" w:eastAsia="宋体" w:cs="Arial"/>
                <w:color w:val="333333"/>
                <w:sz w:val="21"/>
                <w:szCs w:val="21"/>
                <w:shd w:val="clear" w:color="auto" w:fill="FFFFFF"/>
              </w:rPr>
              <w:t>存储于阴凉、通风的库房</w:t>
            </w:r>
            <w:r>
              <w:rPr>
                <w:rFonts w:hint="eastAsia" w:ascii="Arial" w:hAnsi="Arial" w:eastAsia="宋体" w:cs="Arial"/>
                <w:color w:val="333333"/>
                <w:sz w:val="21"/>
                <w:szCs w:val="21"/>
                <w:shd w:val="clear" w:color="auto" w:fill="FFFFFF"/>
              </w:rPr>
              <w:t>，</w:t>
            </w:r>
            <w:r>
              <w:rPr>
                <w:rFonts w:ascii="Arial" w:hAnsi="Arial" w:eastAsia="宋体" w:cs="Arial"/>
                <w:color w:val="333333"/>
                <w:sz w:val="21"/>
                <w:szCs w:val="21"/>
                <w:shd w:val="clear" w:color="auto" w:fill="FFFFFF"/>
              </w:rPr>
              <w:t>采用防爆型照明、通风设施</w:t>
            </w:r>
            <w:r>
              <w:rPr>
                <w:rFonts w:hint="eastAsia" w:ascii="Arial" w:hAnsi="Arial" w:eastAsia="宋体" w:cs="Arial"/>
                <w:color w:val="333333"/>
                <w:sz w:val="21"/>
                <w:szCs w:val="21"/>
                <w:shd w:val="clear" w:color="auto" w:fill="FFFFFF"/>
              </w:rPr>
              <w:t>，</w:t>
            </w:r>
            <w:r>
              <w:rPr>
                <w:rFonts w:ascii="Arial" w:hAnsi="Arial" w:eastAsia="宋体" w:cs="Arial"/>
                <w:color w:val="333333"/>
                <w:sz w:val="21"/>
                <w:szCs w:val="21"/>
                <w:shd w:val="clear" w:color="auto" w:fill="FFFFFF"/>
              </w:rPr>
              <w:t>保持容器密封。远离火种、热源</w:t>
            </w:r>
            <w:r>
              <w:rPr>
                <w:rFonts w:hint="eastAsia" w:ascii="Arial" w:hAnsi="Arial" w:eastAsia="宋体" w:cs="Arial"/>
                <w:color w:val="333333"/>
                <w:sz w:val="21"/>
                <w:szCs w:val="21"/>
                <w:shd w:val="clear" w:color="auto" w:fill="FFFFFF"/>
              </w:rPr>
              <w:t>，储存</w:t>
            </w:r>
            <w:r>
              <w:rPr>
                <w:rFonts w:ascii="Arial" w:hAnsi="Arial" w:eastAsia="宋体" w:cs="Arial"/>
                <w:color w:val="333333"/>
                <w:sz w:val="21"/>
                <w:szCs w:val="21"/>
                <w:shd w:val="clear" w:color="auto" w:fill="FFFFFF"/>
              </w:rPr>
              <w:t>温</w:t>
            </w:r>
            <w:r>
              <w:rPr>
                <w:rFonts w:hint="eastAsia" w:ascii="Arial" w:hAnsi="Arial" w:eastAsia="宋体" w:cs="Arial"/>
                <w:color w:val="333333"/>
                <w:sz w:val="21"/>
                <w:szCs w:val="21"/>
                <w:shd w:val="clear" w:color="auto" w:fill="FFFFFF"/>
              </w:rPr>
              <w:t>度</w:t>
            </w:r>
            <w:r>
              <w:rPr>
                <w:rFonts w:ascii="Arial" w:hAnsi="Arial" w:eastAsia="宋体" w:cs="Arial"/>
                <w:color w:val="333333"/>
                <w:sz w:val="21"/>
                <w:szCs w:val="21"/>
                <w:shd w:val="clear" w:color="auto" w:fill="FFFFFF"/>
              </w:rPr>
              <w:t>不宜超</w:t>
            </w:r>
            <w:r>
              <w:rPr>
                <w:rFonts w:hAnsi="Arial" w:eastAsia="宋体" w:cs="Times New Roman"/>
                <w:color w:val="333333"/>
                <w:sz w:val="21"/>
                <w:szCs w:val="21"/>
                <w:shd w:val="clear" w:color="auto" w:fill="FFFFFF"/>
              </w:rPr>
              <w:t>过</w:t>
            </w:r>
            <w:r>
              <w:rPr>
                <w:rFonts w:eastAsia="宋体" w:cs="Times New Roman"/>
                <w:color w:val="333333"/>
                <w:sz w:val="21"/>
                <w:szCs w:val="21"/>
                <w:shd w:val="clear" w:color="auto" w:fill="FFFFFF"/>
              </w:rPr>
              <w:t>30</w:t>
            </w:r>
            <w:r>
              <w:rPr>
                <w:rFonts w:hint="eastAsia" w:ascii="Arial" w:hAnsi="Arial" w:eastAsia="宋体" w:cs="Arial"/>
                <w:color w:val="333333"/>
                <w:sz w:val="21"/>
                <w:szCs w:val="21"/>
                <w:shd w:val="clear" w:color="auto" w:fill="FFFFFF"/>
              </w:rPr>
              <w:t>℃</w:t>
            </w:r>
            <w:r>
              <w:rPr>
                <w:rFonts w:ascii="Arial" w:hAnsi="Arial" w:eastAsia="宋体" w:cs="Arial"/>
                <w:color w:val="333333"/>
                <w:sz w:val="21"/>
                <w:szCs w:val="21"/>
                <w:shd w:val="clear" w:color="auto" w:fill="FFFFFF"/>
              </w:rPr>
              <w:t>。应与氧化剂、酸类、碱金属、胺类等分开存放，切忌混储。</w:t>
            </w:r>
            <w:r>
              <w:rPr>
                <w:rFonts w:hint="eastAsia" w:ascii="Arial" w:hAnsi="Arial" w:eastAsia="宋体" w:cs="Arial"/>
                <w:color w:val="333333"/>
                <w:sz w:val="21"/>
                <w:szCs w:val="21"/>
                <w:shd w:val="clear" w:color="auto" w:fill="FFFFFF"/>
              </w:rPr>
              <w:t>③发生泄漏时，</w:t>
            </w:r>
            <w:r>
              <w:rPr>
                <w:rFonts w:ascii="Arial" w:hAnsi="Arial" w:eastAsia="宋体" w:cs="Arial"/>
                <w:color w:val="333333"/>
                <w:sz w:val="21"/>
                <w:szCs w:val="21"/>
                <w:shd w:val="clear" w:color="auto" w:fill="FFFFFF"/>
              </w:rPr>
              <w:t>迅速撤离泄漏污染区人员至安全区，并进行隔离，严格限制出入。切断火源。建议应急处理人员戴自给</w:t>
            </w:r>
            <w:r>
              <w:fldChar w:fldCharType="begin"/>
            </w:r>
            <w:r>
              <w:instrText xml:space="preserve"> HYPERLINK "https://baike.baidu.com/item/%E6%AD%A3%E5%8E%8B%E5%BC%8F%E5%91%BC%E5%90%B8%E5%99%A8" \t "_blank" </w:instrText>
            </w:r>
            <w:r>
              <w:fldChar w:fldCharType="separate"/>
            </w:r>
            <w:r>
              <w:rPr>
                <w:rFonts w:ascii="Arial" w:hAnsi="Arial" w:eastAsia="宋体" w:cs="Arial"/>
                <w:color w:val="333333"/>
                <w:sz w:val="21"/>
                <w:szCs w:val="21"/>
                <w:shd w:val="clear" w:color="auto" w:fill="FFFFFF"/>
              </w:rPr>
              <w:t>正压式呼吸器</w:t>
            </w:r>
            <w:r>
              <w:rPr>
                <w:rFonts w:ascii="Arial" w:hAnsi="Arial" w:eastAsia="宋体" w:cs="Arial"/>
                <w:color w:val="333333"/>
                <w:sz w:val="21"/>
                <w:szCs w:val="21"/>
                <w:shd w:val="clear" w:color="auto" w:fill="FFFFFF"/>
              </w:rPr>
              <w:fldChar w:fldCharType="end"/>
            </w:r>
            <w:r>
              <w:rPr>
                <w:rFonts w:ascii="Arial" w:hAnsi="Arial" w:eastAsia="宋体" w:cs="Arial"/>
                <w:color w:val="333333"/>
                <w:sz w:val="21"/>
                <w:szCs w:val="21"/>
                <w:shd w:val="clear" w:color="auto" w:fill="FFFFFF"/>
              </w:rPr>
              <w:t>，穿</w:t>
            </w:r>
            <w:r>
              <w:fldChar w:fldCharType="begin"/>
            </w:r>
            <w:r>
              <w:instrText xml:space="preserve"> HYPERLINK "https://baike.baidu.com/item/%E6%B6%88%E9%98%B2%E9%98%B2%E6%8A%A4%E6%9C%8D" \t "_blank" </w:instrText>
            </w:r>
            <w:r>
              <w:fldChar w:fldCharType="separate"/>
            </w:r>
            <w:r>
              <w:rPr>
                <w:rFonts w:ascii="Arial" w:hAnsi="Arial" w:eastAsia="宋体" w:cs="Arial"/>
                <w:color w:val="333333"/>
                <w:sz w:val="21"/>
                <w:szCs w:val="21"/>
                <w:shd w:val="clear" w:color="auto" w:fill="FFFFFF"/>
              </w:rPr>
              <w:t>消防防护服</w:t>
            </w:r>
            <w:r>
              <w:rPr>
                <w:rFonts w:ascii="Arial" w:hAnsi="Arial" w:eastAsia="宋体" w:cs="Arial"/>
                <w:color w:val="333333"/>
                <w:sz w:val="21"/>
                <w:szCs w:val="21"/>
                <w:shd w:val="clear" w:color="auto" w:fill="FFFFFF"/>
              </w:rPr>
              <w:fldChar w:fldCharType="end"/>
            </w:r>
            <w:r>
              <w:rPr>
                <w:rFonts w:ascii="Arial" w:hAnsi="Arial" w:eastAsia="宋体" w:cs="Arial"/>
                <w:color w:val="333333"/>
                <w:sz w:val="21"/>
                <w:szCs w:val="21"/>
                <w:shd w:val="clear" w:color="auto" w:fill="FFFFFF"/>
              </w:rPr>
              <w:t>。尽可能切断泄漏源，防止进入下水道、排洪沟等限制性空间</w:t>
            </w:r>
            <w:r>
              <w:rPr>
                <w:rFonts w:hint="eastAsia" w:ascii="Arial" w:hAnsi="Arial" w:eastAsia="宋体" w:cs="Arial"/>
                <w:color w:val="333333"/>
                <w:sz w:val="21"/>
                <w:szCs w:val="21"/>
                <w:shd w:val="clear" w:color="auto" w:fill="FFFFFF"/>
              </w:rPr>
              <w:t>。</w:t>
            </w:r>
          </w:p>
          <w:p>
            <w:pPr>
              <w:spacing w:line="240" w:lineRule="auto"/>
              <w:ind w:firstLine="0" w:firstLineChars="0"/>
              <w:rPr>
                <w:sz w:val="21"/>
                <w:szCs w:val="21"/>
              </w:rPr>
            </w:pPr>
            <w:r>
              <w:rPr>
                <w:rFonts w:hAnsi="Arial" w:eastAsia="宋体" w:cs="Times New Roman"/>
                <w:color w:val="333333"/>
                <w:sz w:val="21"/>
                <w:szCs w:val="21"/>
                <w:shd w:val="clear" w:color="auto" w:fill="FFFFFF"/>
              </w:rPr>
              <w:t>（</w:t>
            </w:r>
            <w:r>
              <w:rPr>
                <w:rFonts w:eastAsia="宋体" w:cs="Times New Roman"/>
                <w:color w:val="333333"/>
                <w:sz w:val="21"/>
                <w:szCs w:val="21"/>
                <w:shd w:val="clear" w:color="auto" w:fill="FFFFFF"/>
              </w:rPr>
              <w:t>2</w:t>
            </w:r>
            <w:r>
              <w:rPr>
                <w:rFonts w:hAnsi="Arial" w:eastAsia="宋体" w:cs="Times New Roman"/>
                <w:color w:val="333333"/>
                <w:sz w:val="21"/>
                <w:szCs w:val="21"/>
                <w:shd w:val="clear" w:color="auto" w:fill="FFFFFF"/>
              </w:rPr>
              <w:t>）</w:t>
            </w:r>
            <w:r>
              <w:rPr>
                <w:rFonts w:hint="eastAsia" w:ascii="Arial" w:hAnsi="Arial" w:cs="Arial"/>
                <w:color w:val="333333"/>
                <w:sz w:val="21"/>
                <w:szCs w:val="21"/>
                <w:shd w:val="clear" w:color="auto" w:fill="FFFFFF"/>
              </w:rPr>
              <w:t>次氯酸钠</w:t>
            </w:r>
            <w:r>
              <w:rPr>
                <w:rFonts w:hint="eastAsia" w:ascii="宋体" w:hAnsi="宋体" w:cs="宋体"/>
                <w:sz w:val="21"/>
                <w:szCs w:val="21"/>
              </w:rPr>
              <w:t>环境风险防范措施：</w:t>
            </w:r>
            <w:r>
              <w:rPr>
                <w:rFonts w:hint="eastAsia" w:ascii="宋体" w:hAnsi="宋体" w:cs="Arial"/>
                <w:color w:val="333333"/>
                <w:sz w:val="21"/>
                <w:szCs w:val="21"/>
                <w:shd w:val="clear" w:color="auto" w:fill="FFFFFF"/>
              </w:rPr>
              <w:t>①</w:t>
            </w:r>
            <w:r>
              <w:rPr>
                <w:rFonts w:hint="eastAsia" w:ascii="Arial" w:hAnsi="Arial" w:cs="Arial"/>
                <w:color w:val="333333"/>
                <w:sz w:val="21"/>
                <w:szCs w:val="21"/>
                <w:shd w:val="clear" w:color="auto" w:fill="FFFFFF"/>
              </w:rPr>
              <w:t>应储存于阴凉、通风的库房，远离火种、热源，储存</w:t>
            </w:r>
            <w:r>
              <w:rPr>
                <w:rFonts w:ascii="Arial" w:hAnsi="Arial" w:cs="Arial"/>
                <w:color w:val="333333"/>
                <w:sz w:val="21"/>
                <w:szCs w:val="21"/>
                <w:shd w:val="clear" w:color="auto" w:fill="FFFFFF"/>
              </w:rPr>
              <w:t>温</w:t>
            </w:r>
            <w:r>
              <w:rPr>
                <w:rFonts w:hint="eastAsia" w:ascii="Arial" w:hAnsi="Arial" w:cs="Arial"/>
                <w:color w:val="333333"/>
                <w:sz w:val="21"/>
                <w:szCs w:val="21"/>
                <w:shd w:val="clear" w:color="auto" w:fill="FFFFFF"/>
              </w:rPr>
              <w:t>度</w:t>
            </w:r>
            <w:r>
              <w:rPr>
                <w:rFonts w:ascii="Arial" w:hAnsi="Arial" w:cs="Arial"/>
                <w:color w:val="333333"/>
                <w:sz w:val="21"/>
                <w:szCs w:val="21"/>
                <w:shd w:val="clear" w:color="auto" w:fill="FFFFFF"/>
              </w:rPr>
              <w:t>不宜超</w:t>
            </w:r>
            <w:r>
              <w:rPr>
                <w:rFonts w:hAnsi="Arial"/>
                <w:color w:val="333333"/>
                <w:sz w:val="21"/>
                <w:szCs w:val="21"/>
                <w:shd w:val="clear" w:color="auto" w:fill="FFFFFF"/>
              </w:rPr>
              <w:t>过</w:t>
            </w:r>
            <w:r>
              <w:rPr>
                <w:color w:val="333333"/>
                <w:sz w:val="21"/>
                <w:szCs w:val="21"/>
                <w:shd w:val="clear" w:color="auto" w:fill="FFFFFF"/>
              </w:rPr>
              <w:t>30</w:t>
            </w:r>
            <w:r>
              <w:rPr>
                <w:rFonts w:hint="eastAsia" w:ascii="Arial" w:hAnsi="Arial" w:cs="Arial"/>
                <w:color w:val="333333"/>
                <w:sz w:val="21"/>
                <w:szCs w:val="21"/>
                <w:shd w:val="clear" w:color="auto" w:fill="FFFFFF"/>
              </w:rPr>
              <w:t>℃，应与碱类分开存放，切忌混储。</w:t>
            </w:r>
            <w:r>
              <w:rPr>
                <w:rFonts w:hint="eastAsia" w:ascii="宋体" w:hAnsi="宋体" w:cs="Arial"/>
                <w:color w:val="333333"/>
                <w:sz w:val="21"/>
                <w:szCs w:val="21"/>
                <w:shd w:val="clear" w:color="auto" w:fill="FFFFFF"/>
              </w:rPr>
              <w:t>②</w:t>
            </w:r>
            <w:r>
              <w:rPr>
                <w:rFonts w:ascii="Arial" w:hAnsi="Arial" w:cs="Arial"/>
                <w:color w:val="333333"/>
                <w:sz w:val="21"/>
                <w:szCs w:val="21"/>
                <w:shd w:val="clear" w:color="auto" w:fill="FFFFFF"/>
              </w:rPr>
              <w:t>操作人员必须经过专门培训，严格遵守操作规程。</w:t>
            </w:r>
            <w:r>
              <w:rPr>
                <w:rFonts w:hint="eastAsia" w:ascii="宋体" w:hAnsi="宋体" w:cs="Arial"/>
                <w:color w:val="333333"/>
                <w:sz w:val="21"/>
                <w:szCs w:val="21"/>
                <w:shd w:val="clear" w:color="auto" w:fill="FFFFFF"/>
              </w:rPr>
              <w:t>③若发生泄漏，</w:t>
            </w:r>
            <w:r>
              <w:rPr>
                <w:rFonts w:ascii="Arial" w:hAnsi="Arial" w:cs="Arial"/>
                <w:color w:val="333333"/>
                <w:sz w:val="21"/>
                <w:szCs w:val="21"/>
                <w:shd w:val="clear" w:color="auto" w:fill="FFFFFF"/>
              </w:rPr>
              <w:t>尽可能切断泄漏源。防止泄漏物进入水体、下水道、地下室或密闭性空间。小量泄漏：用干燥的砂土或其它不燃材料吸收或覆盖，收集于容器中。大量泄漏</w:t>
            </w:r>
            <w:r>
              <w:rPr>
                <w:rFonts w:hint="eastAsia" w:ascii="Arial" w:hAnsi="Arial" w:cs="Arial"/>
                <w:color w:val="333333"/>
                <w:sz w:val="21"/>
                <w:szCs w:val="21"/>
                <w:shd w:val="clear" w:color="auto" w:fill="FFFFFF"/>
              </w:rPr>
              <w:t>：</w:t>
            </w:r>
            <w:r>
              <w:rPr>
                <w:rFonts w:ascii="Arial" w:hAnsi="Arial" w:cs="Arial"/>
                <w:color w:val="333333"/>
                <w:sz w:val="21"/>
                <w:szCs w:val="21"/>
                <w:shd w:val="clear" w:color="auto" w:fill="FFFFFF"/>
              </w:rPr>
              <w:t>构筑围堤或挖坑收容。用耐腐蚀泵转移至槽车或专用收集器内。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9" w:hRule="atLeast"/>
          <w:jc w:val="center"/>
        </w:trPr>
        <w:tc>
          <w:tcPr>
            <w:tcW w:w="1175" w:type="dxa"/>
            <w:vAlign w:val="center"/>
          </w:tcPr>
          <w:p>
            <w:pPr>
              <w:adjustRightInd w:val="0"/>
              <w:snapToGrid w:val="0"/>
              <w:ind w:firstLine="0" w:firstLineChars="0"/>
              <w:jc w:val="center"/>
              <w:rPr>
                <w:rFonts w:ascii="宋体" w:hAnsi="宋体" w:cs="宋体"/>
                <w:spacing w:val="-8"/>
                <w:sz w:val="21"/>
                <w:szCs w:val="21"/>
              </w:rPr>
            </w:pPr>
            <w:r>
              <w:rPr>
                <w:rFonts w:hint="eastAsia" w:ascii="宋体" w:hAnsi="宋体" w:cs="宋体"/>
                <w:spacing w:val="-8"/>
                <w:sz w:val="21"/>
                <w:szCs w:val="21"/>
              </w:rPr>
              <w:t>其他环境</w:t>
            </w:r>
          </w:p>
          <w:p>
            <w:pPr>
              <w:adjustRightInd w:val="0"/>
              <w:snapToGrid w:val="0"/>
              <w:ind w:firstLine="0" w:firstLineChars="0"/>
              <w:jc w:val="center"/>
              <w:rPr>
                <w:rFonts w:ascii="宋体" w:hAnsi="宋体" w:cs="宋体"/>
                <w:spacing w:val="-8"/>
                <w:sz w:val="21"/>
                <w:szCs w:val="21"/>
              </w:rPr>
            </w:pPr>
            <w:r>
              <w:rPr>
                <w:rFonts w:hint="eastAsia" w:ascii="宋体" w:hAnsi="宋体" w:cs="宋体"/>
                <w:spacing w:val="-8"/>
                <w:sz w:val="21"/>
                <w:szCs w:val="21"/>
              </w:rPr>
              <w:t>管理要求</w:t>
            </w:r>
          </w:p>
        </w:tc>
        <w:tc>
          <w:tcPr>
            <w:tcW w:w="8091" w:type="dxa"/>
            <w:gridSpan w:val="4"/>
            <w:vAlign w:val="center"/>
          </w:tcPr>
          <w:p>
            <w:pPr>
              <w:adjustRightInd w:val="0"/>
              <w:snapToGrid w:val="0"/>
              <w:ind w:firstLine="0" w:firstLineChars="0"/>
              <w:rPr>
                <w:rFonts w:ascii="宋体" w:hAnsi="宋体" w:cs="宋体"/>
                <w:sz w:val="21"/>
                <w:szCs w:val="21"/>
              </w:rPr>
            </w:pPr>
          </w:p>
        </w:tc>
      </w:tr>
    </w:tbl>
    <w:p>
      <w:pPr>
        <w:ind w:firstLine="480"/>
      </w:pPr>
    </w:p>
    <w:p>
      <w:pPr>
        <w:widowControl/>
        <w:ind w:firstLine="480"/>
        <w:jc w:val="left"/>
        <w:rPr>
          <w:rFonts w:cs="Times New Roman" w:asciiTheme="minorEastAsia" w:hAnsiTheme="minorEastAsia"/>
          <w:szCs w:val="20"/>
        </w:rPr>
      </w:pPr>
      <w:r>
        <w:rPr>
          <w:rFonts w:cs="Times New Roman" w:asciiTheme="minorEastAsia" w:hAnsiTheme="minorEastAsia"/>
          <w:szCs w:val="20"/>
        </w:rPr>
        <w:br w:type="page"/>
      </w:r>
    </w:p>
    <w:p>
      <w:pPr>
        <w:pStyle w:val="4"/>
      </w:pPr>
      <w:bookmarkStart w:id="68" w:name="_Toc376855819"/>
      <w:bookmarkStart w:id="69" w:name="_Toc341946650"/>
      <w:bookmarkStart w:id="70" w:name="_Toc458883644"/>
      <w:bookmarkStart w:id="71" w:name="_Toc68101070"/>
      <w:r>
        <w:rPr>
          <w:rFonts w:hint="eastAsia"/>
        </w:rPr>
        <w:t>六、</w:t>
      </w:r>
      <w:bookmarkEnd w:id="68"/>
      <w:bookmarkEnd w:id="69"/>
      <w:bookmarkEnd w:id="70"/>
      <w:r>
        <w:rPr>
          <w:rFonts w:hint="eastAsia"/>
        </w:rPr>
        <w:t>结论</w:t>
      </w:r>
      <w:bookmarkEnd w:id="71"/>
    </w:p>
    <w:tbl>
      <w:tblPr>
        <w:tblStyle w:val="36"/>
        <w:tblW w:w="94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69" w:hRule="atLeast"/>
          <w:jc w:val="center"/>
        </w:trPr>
        <w:tc>
          <w:tcPr>
            <w:tcW w:w="9470" w:type="dxa"/>
          </w:tcPr>
          <w:p>
            <w:pPr>
              <w:ind w:firstLine="480"/>
            </w:pPr>
            <w:r>
              <w:t>本项目</w:t>
            </w:r>
            <w:r>
              <w:rPr>
                <w:rFonts w:hint="eastAsia"/>
              </w:rPr>
              <w:t>为乡镇卫生院建设项目，建设用地性质为医疗卫生用地</w:t>
            </w:r>
            <w:r>
              <w:t>，</w:t>
            </w:r>
            <w:r>
              <w:rPr>
                <w:rFonts w:hint="eastAsia"/>
              </w:rPr>
              <w:t>即项目符合当地规划，</w:t>
            </w:r>
            <w:r>
              <w:t>符合国家产业政策，</w:t>
            </w:r>
            <w:r>
              <w:rPr>
                <w:rFonts w:hint="eastAsia"/>
              </w:rPr>
              <w:t>符合“三线一单”管理及相关环保规划要求</w:t>
            </w:r>
            <w:r>
              <w:t>；</w:t>
            </w:r>
            <w:r>
              <w:rPr>
                <w:rFonts w:hint="eastAsia"/>
              </w:rPr>
              <w:t>项目在落实本报告提出的各项污染治理措施，并加强环境管理和风险防范，保证各项污染物达标排放后，项目对周围环境影响较小</w:t>
            </w:r>
            <w:r>
              <w:rPr>
                <w:szCs w:val="24"/>
              </w:rPr>
              <w:t>，不</w:t>
            </w:r>
            <w:r>
              <w:rPr>
                <w:rFonts w:hint="eastAsia"/>
                <w:szCs w:val="24"/>
              </w:rPr>
              <w:t>会</w:t>
            </w:r>
            <w:r>
              <w:rPr>
                <w:szCs w:val="24"/>
              </w:rPr>
              <w:t>改变所在区域的环境功能，对环境保护目标不会产生显著影响。</w:t>
            </w:r>
          </w:p>
          <w:p>
            <w:pPr>
              <w:ind w:firstLine="480"/>
              <w:rPr>
                <w:rFonts w:ascii="仿宋" w:eastAsia="仿宋" w:cs="仿宋"/>
                <w:sz w:val="28"/>
                <w:szCs w:val="28"/>
              </w:rPr>
            </w:pPr>
            <w:r>
              <w:rPr>
                <w:rFonts w:hint="eastAsia"/>
              </w:rPr>
              <w:t>从环境保护角度考虑，本项目的建设是合理、可行的。</w:t>
            </w:r>
          </w:p>
          <w:p>
            <w:pPr>
              <w:autoSpaceDE w:val="0"/>
              <w:autoSpaceDN w:val="0"/>
              <w:adjustRightInd w:val="0"/>
              <w:spacing w:line="240" w:lineRule="auto"/>
              <w:ind w:firstLine="0" w:firstLineChars="0"/>
              <w:jc w:val="left"/>
              <w:rPr>
                <w:rFonts w:ascii="仿宋" w:eastAsia="仿宋" w:cs="仿宋" w:hAnsiTheme="minorHAnsi"/>
                <w:kern w:val="0"/>
                <w:sz w:val="28"/>
                <w:szCs w:val="28"/>
              </w:rPr>
            </w:pPr>
          </w:p>
        </w:tc>
      </w:tr>
    </w:tbl>
    <w:p>
      <w:pPr>
        <w:autoSpaceDE w:val="0"/>
        <w:autoSpaceDN w:val="0"/>
        <w:snapToGrid w:val="0"/>
        <w:spacing w:line="240" w:lineRule="auto"/>
        <w:ind w:firstLine="480"/>
        <w:jc w:val="left"/>
        <w:rPr>
          <w:rFonts w:ascii="黑体" w:hAnsi="黑体" w:eastAsia="黑体"/>
          <w:snapToGrid w:val="0"/>
          <w:sz w:val="32"/>
          <w:szCs w:val="32"/>
        </w:rPr>
        <w:sectPr>
          <w:headerReference r:id="rId13" w:type="default"/>
          <w:footerReference r:id="rId14" w:type="default"/>
          <w:footerReference r:id="rId15" w:type="even"/>
          <w:pgSz w:w="11906" w:h="16838"/>
          <w:pgMar w:top="1440" w:right="1247" w:bottom="1440" w:left="1247" w:header="851" w:footer="835" w:gutter="0"/>
          <w:pgNumType w:start="1"/>
          <w:cols w:space="425" w:num="1"/>
          <w:docGrid w:type="linesAndChars" w:linePitch="326" w:charSpace="0"/>
        </w:sectPr>
      </w:pPr>
      <w:r>
        <w:rPr>
          <w:szCs w:val="20"/>
        </w:rPr>
        <w:br w:type="page"/>
      </w:r>
    </w:p>
    <w:p>
      <w:pPr>
        <w:ind w:firstLine="562"/>
        <w:rPr>
          <w:b/>
          <w:snapToGrid w:val="0"/>
          <w:sz w:val="28"/>
          <w:szCs w:val="28"/>
        </w:rPr>
      </w:pPr>
      <w:r>
        <w:rPr>
          <w:rFonts w:hint="eastAsia"/>
          <w:b/>
          <w:snapToGrid w:val="0"/>
          <w:sz w:val="28"/>
          <w:szCs w:val="28"/>
        </w:rPr>
        <w:t>附表</w:t>
      </w:r>
    </w:p>
    <w:p>
      <w:pPr>
        <w:pStyle w:val="31"/>
        <w:adjustRightInd w:val="0"/>
        <w:snapToGrid w:val="0"/>
        <w:spacing w:before="0" w:beforeAutospacing="0" w:after="0" w:afterAutospacing="0" w:line="552" w:lineRule="auto"/>
        <w:ind w:left="480" w:firstLine="760"/>
        <w:jc w:val="center"/>
        <w:outlineLvl w:val="0"/>
        <w:rPr>
          <w:rFonts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36"/>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77"/>
              <w:spacing w:line="240" w:lineRule="auto"/>
              <w:ind w:firstLine="0" w:firstLineChars="0"/>
              <w:jc w:val="right"/>
              <w:rPr>
                <w:rFonts w:ascii="黑体" w:hAnsi="黑体" w:eastAsia="黑体" w:cs="宋体"/>
                <w:snapToGrid w:val="0"/>
                <w:spacing w:val="-6"/>
                <w:kern w:val="21"/>
                <w:szCs w:val="24"/>
              </w:rPr>
            </w:pPr>
            <w:r>
              <w:rPr>
                <w:rFonts w:hint="eastAsia" w:ascii="黑体" w:hAnsi="黑体" w:eastAsia="黑体" w:cs="宋体"/>
                <w:snapToGrid w:val="0"/>
                <w:spacing w:val="-6"/>
                <w:kern w:val="21"/>
                <w:szCs w:val="24"/>
              </w:rPr>
              <w:t>项目</w:t>
            </w:r>
          </w:p>
          <w:p>
            <w:pPr>
              <w:pStyle w:val="77"/>
              <w:spacing w:line="240" w:lineRule="auto"/>
              <w:ind w:firstLine="0" w:firstLineChars="0"/>
              <w:jc w:val="left"/>
              <w:rPr>
                <w:rFonts w:ascii="黑体" w:hAnsi="黑体" w:eastAsia="黑体" w:cs="宋体"/>
                <w:snapToGrid w:val="0"/>
                <w:spacing w:val="-6"/>
                <w:kern w:val="21"/>
                <w:szCs w:val="24"/>
              </w:rPr>
            </w:pPr>
            <w:r>
              <w:rPr>
                <w:rFonts w:hint="eastAsia" w:ascii="黑体" w:hAnsi="黑体" w:eastAsia="黑体" w:cs="宋体"/>
                <w:snapToGrid w:val="0"/>
                <w:spacing w:val="-6"/>
                <w:kern w:val="21"/>
                <w:szCs w:val="24"/>
              </w:rPr>
              <w:t>分类</w:t>
            </w:r>
          </w:p>
        </w:tc>
        <w:tc>
          <w:tcPr>
            <w:tcW w:w="1417" w:type="dxa"/>
            <w:tcMar>
              <w:left w:w="28" w:type="dxa"/>
              <w:right w:w="28" w:type="dxa"/>
            </w:tcMar>
            <w:vAlign w:val="center"/>
          </w:tcPr>
          <w:p>
            <w:pPr>
              <w:pStyle w:val="77"/>
              <w:spacing w:line="240" w:lineRule="auto"/>
              <w:ind w:firstLine="0" w:firstLineChars="0"/>
              <w:rPr>
                <w:rFonts w:ascii="黑体" w:hAnsi="黑体" w:eastAsia="黑体" w:cs="宋体"/>
                <w:snapToGrid w:val="0"/>
                <w:spacing w:val="-6"/>
                <w:kern w:val="21"/>
                <w:szCs w:val="24"/>
              </w:rPr>
            </w:pPr>
            <w:r>
              <w:rPr>
                <w:rFonts w:hint="eastAsia" w:ascii="黑体" w:hAnsi="黑体" w:eastAsia="黑体" w:cs="宋体"/>
                <w:snapToGrid w:val="0"/>
                <w:spacing w:val="-6"/>
                <w:kern w:val="21"/>
                <w:szCs w:val="24"/>
              </w:rPr>
              <w:t>污染物名称</w:t>
            </w:r>
          </w:p>
        </w:tc>
        <w:tc>
          <w:tcPr>
            <w:tcW w:w="1701" w:type="dxa"/>
            <w:tcMar>
              <w:left w:w="28" w:type="dxa"/>
              <w:right w:w="28" w:type="dxa"/>
            </w:tcMar>
            <w:vAlign w:val="center"/>
          </w:tcPr>
          <w:p>
            <w:pPr>
              <w:pStyle w:val="77"/>
              <w:spacing w:line="240" w:lineRule="auto"/>
              <w:ind w:firstLine="0" w:firstLineChars="0"/>
              <w:rPr>
                <w:rFonts w:ascii="黑体" w:hAnsi="黑体" w:eastAsia="黑体"/>
                <w:snapToGrid w:val="0"/>
                <w:spacing w:val="-6"/>
                <w:kern w:val="21"/>
                <w:szCs w:val="24"/>
              </w:rPr>
            </w:pPr>
            <w:r>
              <w:rPr>
                <w:rFonts w:ascii="黑体" w:hAnsi="黑体" w:eastAsia="黑体"/>
                <w:snapToGrid w:val="0"/>
                <w:spacing w:val="-6"/>
                <w:kern w:val="21"/>
                <w:szCs w:val="24"/>
              </w:rPr>
              <w:t>现有工程</w:t>
            </w:r>
          </w:p>
          <w:p>
            <w:pPr>
              <w:pStyle w:val="77"/>
              <w:spacing w:line="240" w:lineRule="auto"/>
              <w:ind w:firstLine="0" w:firstLineChars="0"/>
              <w:rPr>
                <w:rFonts w:ascii="黑体" w:hAnsi="黑体" w:eastAsia="黑体"/>
                <w:snapToGrid w:val="0"/>
                <w:spacing w:val="-6"/>
                <w:kern w:val="21"/>
                <w:szCs w:val="24"/>
              </w:rPr>
            </w:pPr>
            <w:r>
              <w:rPr>
                <w:rFonts w:ascii="黑体" w:hAnsi="黑体" w:eastAsia="黑体"/>
                <w:snapToGrid w:val="0"/>
                <w:spacing w:val="-6"/>
                <w:kern w:val="21"/>
                <w:szCs w:val="24"/>
              </w:rPr>
              <w:t>排放量（固</w:t>
            </w:r>
            <w:r>
              <w:rPr>
                <w:rFonts w:hint="eastAsia" w:ascii="黑体" w:hAnsi="黑体" w:eastAsia="黑体"/>
                <w:snapToGrid w:val="0"/>
                <w:spacing w:val="-6"/>
                <w:kern w:val="21"/>
                <w:szCs w:val="24"/>
              </w:rPr>
              <w:t>体</w:t>
            </w:r>
            <w:r>
              <w:rPr>
                <w:rFonts w:ascii="黑体" w:hAnsi="黑体" w:eastAsia="黑体"/>
                <w:snapToGrid w:val="0"/>
                <w:spacing w:val="-6"/>
                <w:kern w:val="21"/>
                <w:szCs w:val="24"/>
              </w:rPr>
              <w:t>废</w:t>
            </w:r>
            <w:r>
              <w:rPr>
                <w:rFonts w:hint="eastAsia" w:ascii="黑体" w:hAnsi="黑体" w:eastAsia="黑体"/>
                <w:snapToGrid w:val="0"/>
                <w:spacing w:val="-6"/>
                <w:kern w:val="21"/>
                <w:szCs w:val="24"/>
              </w:rPr>
              <w:t>物</w:t>
            </w:r>
            <w:r>
              <w:rPr>
                <w:rFonts w:ascii="黑体" w:hAnsi="黑体" w:eastAsia="黑体"/>
                <w:snapToGrid w:val="0"/>
                <w:spacing w:val="-6"/>
                <w:kern w:val="21"/>
                <w:szCs w:val="24"/>
              </w:rPr>
              <w:t>产生量）</w:t>
            </w:r>
            <w:r>
              <w:rPr>
                <w:rFonts w:ascii="黑体" w:hAnsi="黑体" w:eastAsia="黑体"/>
                <w:snapToGrid w:val="0"/>
                <w:spacing w:val="-6"/>
                <w:kern w:val="21"/>
                <w:szCs w:val="24"/>
              </w:rPr>
              <w:fldChar w:fldCharType="begin"/>
            </w:r>
            <w:r>
              <w:rPr>
                <w:rFonts w:ascii="黑体" w:hAnsi="黑体" w:eastAsia="黑体"/>
                <w:snapToGrid w:val="0"/>
                <w:spacing w:val="-6"/>
                <w:kern w:val="21"/>
                <w:szCs w:val="24"/>
              </w:rPr>
              <w:instrText xml:space="preserve"> = 1 \* GB3 \* MERGEFORMAT </w:instrText>
            </w:r>
            <w:r>
              <w:rPr>
                <w:rFonts w:ascii="黑体" w:hAnsi="黑体" w:eastAsia="黑体"/>
                <w:snapToGrid w:val="0"/>
                <w:spacing w:val="-6"/>
                <w:kern w:val="21"/>
                <w:szCs w:val="24"/>
              </w:rPr>
              <w:fldChar w:fldCharType="separate"/>
            </w:r>
            <w:r>
              <w:rPr>
                <w:rFonts w:hint="eastAsia" w:ascii="黑体" w:hAnsi="黑体" w:eastAsia="黑体" w:cs="宋体"/>
                <w:szCs w:val="24"/>
              </w:rPr>
              <w:t>①</w:t>
            </w:r>
            <w:r>
              <w:rPr>
                <w:rFonts w:ascii="黑体" w:hAnsi="黑体" w:eastAsia="黑体"/>
                <w:snapToGrid w:val="0"/>
                <w:spacing w:val="-6"/>
                <w:kern w:val="21"/>
                <w:szCs w:val="24"/>
              </w:rPr>
              <w:fldChar w:fldCharType="end"/>
            </w:r>
          </w:p>
        </w:tc>
        <w:tc>
          <w:tcPr>
            <w:tcW w:w="1276" w:type="dxa"/>
            <w:tcMar>
              <w:left w:w="28" w:type="dxa"/>
              <w:right w:w="28" w:type="dxa"/>
            </w:tcMar>
            <w:vAlign w:val="center"/>
          </w:tcPr>
          <w:p>
            <w:pPr>
              <w:pStyle w:val="77"/>
              <w:spacing w:line="240" w:lineRule="auto"/>
              <w:ind w:firstLine="0" w:firstLineChars="0"/>
              <w:rPr>
                <w:rFonts w:ascii="黑体" w:hAnsi="黑体" w:eastAsia="黑体"/>
                <w:snapToGrid w:val="0"/>
                <w:spacing w:val="-6"/>
                <w:kern w:val="21"/>
                <w:szCs w:val="24"/>
              </w:rPr>
            </w:pPr>
            <w:r>
              <w:rPr>
                <w:rFonts w:ascii="黑体" w:hAnsi="黑体" w:eastAsia="黑体"/>
                <w:snapToGrid w:val="0"/>
                <w:spacing w:val="-6"/>
                <w:kern w:val="21"/>
                <w:szCs w:val="24"/>
              </w:rPr>
              <w:t>现有工程</w:t>
            </w:r>
          </w:p>
          <w:p>
            <w:pPr>
              <w:pStyle w:val="77"/>
              <w:spacing w:line="240" w:lineRule="auto"/>
              <w:ind w:firstLine="0" w:firstLineChars="0"/>
              <w:rPr>
                <w:rFonts w:ascii="黑体" w:hAnsi="黑体" w:eastAsia="黑体"/>
                <w:snapToGrid w:val="0"/>
                <w:spacing w:val="-6"/>
                <w:kern w:val="21"/>
                <w:szCs w:val="24"/>
              </w:rPr>
            </w:pPr>
            <w:r>
              <w:rPr>
                <w:rFonts w:ascii="黑体" w:hAnsi="黑体" w:eastAsia="黑体"/>
                <w:snapToGrid w:val="0"/>
                <w:spacing w:val="-6"/>
                <w:kern w:val="21"/>
                <w:szCs w:val="24"/>
              </w:rPr>
              <w:t>许可排放量</w:t>
            </w:r>
          </w:p>
          <w:p>
            <w:pPr>
              <w:pStyle w:val="77"/>
              <w:ind w:firstLine="0" w:firstLineChars="0"/>
              <w:rPr>
                <w:rFonts w:ascii="黑体" w:hAnsi="黑体" w:eastAsia="黑体"/>
                <w:snapToGrid w:val="0"/>
                <w:spacing w:val="-6"/>
                <w:kern w:val="21"/>
                <w:szCs w:val="24"/>
              </w:rPr>
            </w:pPr>
            <w:r>
              <w:rPr>
                <w:rFonts w:ascii="黑体" w:hAnsi="黑体" w:eastAsia="黑体"/>
                <w:snapToGrid w:val="0"/>
                <w:spacing w:val="-6"/>
                <w:kern w:val="21"/>
                <w:szCs w:val="24"/>
              </w:rPr>
              <w:fldChar w:fldCharType="begin"/>
            </w:r>
            <w:r>
              <w:rPr>
                <w:rFonts w:ascii="黑体" w:hAnsi="黑体" w:eastAsia="黑体"/>
                <w:snapToGrid w:val="0"/>
                <w:spacing w:val="-6"/>
                <w:kern w:val="21"/>
                <w:szCs w:val="24"/>
              </w:rPr>
              <w:instrText xml:space="preserve"> = 2 \* GB3 \* MERGEFORMAT </w:instrText>
            </w:r>
            <w:r>
              <w:rPr>
                <w:rFonts w:ascii="黑体" w:hAnsi="黑体" w:eastAsia="黑体"/>
                <w:snapToGrid w:val="0"/>
                <w:spacing w:val="-6"/>
                <w:kern w:val="21"/>
                <w:szCs w:val="24"/>
              </w:rPr>
              <w:fldChar w:fldCharType="separate"/>
            </w:r>
            <w:r>
              <w:rPr>
                <w:rFonts w:hint="eastAsia" w:ascii="黑体" w:hAnsi="黑体" w:eastAsia="黑体" w:cs="宋体"/>
                <w:snapToGrid w:val="0"/>
                <w:spacing w:val="-6"/>
                <w:kern w:val="21"/>
                <w:szCs w:val="24"/>
              </w:rPr>
              <w:t>②</w:t>
            </w:r>
            <w:r>
              <w:rPr>
                <w:rFonts w:ascii="黑体" w:hAnsi="黑体" w:eastAsia="黑体"/>
                <w:snapToGrid w:val="0"/>
                <w:spacing w:val="-6"/>
                <w:kern w:val="21"/>
                <w:szCs w:val="24"/>
              </w:rPr>
              <w:fldChar w:fldCharType="end"/>
            </w:r>
          </w:p>
        </w:tc>
        <w:tc>
          <w:tcPr>
            <w:tcW w:w="1701" w:type="dxa"/>
            <w:tcMar>
              <w:left w:w="28" w:type="dxa"/>
              <w:right w:w="28" w:type="dxa"/>
            </w:tcMar>
            <w:vAlign w:val="center"/>
          </w:tcPr>
          <w:p>
            <w:pPr>
              <w:pStyle w:val="77"/>
              <w:spacing w:line="240" w:lineRule="auto"/>
              <w:ind w:firstLine="0" w:firstLineChars="0"/>
              <w:rPr>
                <w:rFonts w:ascii="黑体" w:hAnsi="黑体" w:eastAsia="黑体"/>
                <w:snapToGrid w:val="0"/>
                <w:spacing w:val="-6"/>
                <w:kern w:val="21"/>
                <w:szCs w:val="24"/>
              </w:rPr>
            </w:pPr>
            <w:r>
              <w:rPr>
                <w:rFonts w:ascii="黑体" w:hAnsi="黑体" w:eastAsia="黑体"/>
                <w:snapToGrid w:val="0"/>
                <w:spacing w:val="-6"/>
                <w:kern w:val="21"/>
                <w:szCs w:val="24"/>
              </w:rPr>
              <w:t>在建工程</w:t>
            </w:r>
          </w:p>
          <w:p>
            <w:pPr>
              <w:pStyle w:val="77"/>
              <w:spacing w:line="240" w:lineRule="auto"/>
              <w:ind w:firstLine="0" w:firstLineChars="0"/>
              <w:rPr>
                <w:rFonts w:ascii="黑体" w:hAnsi="黑体" w:eastAsia="黑体"/>
                <w:snapToGrid w:val="0"/>
                <w:spacing w:val="-6"/>
                <w:kern w:val="21"/>
                <w:szCs w:val="24"/>
              </w:rPr>
            </w:pPr>
            <w:r>
              <w:rPr>
                <w:rFonts w:ascii="黑体" w:hAnsi="黑体" w:eastAsia="黑体"/>
                <w:snapToGrid w:val="0"/>
                <w:spacing w:val="-6"/>
                <w:kern w:val="21"/>
                <w:szCs w:val="24"/>
              </w:rPr>
              <w:t>排放量（固</w:t>
            </w:r>
            <w:r>
              <w:rPr>
                <w:rFonts w:hint="eastAsia" w:ascii="黑体" w:hAnsi="黑体" w:eastAsia="黑体"/>
                <w:snapToGrid w:val="0"/>
                <w:spacing w:val="-6"/>
                <w:kern w:val="21"/>
                <w:szCs w:val="24"/>
              </w:rPr>
              <w:t>体</w:t>
            </w:r>
            <w:r>
              <w:rPr>
                <w:rFonts w:ascii="黑体" w:hAnsi="黑体" w:eastAsia="黑体"/>
                <w:snapToGrid w:val="0"/>
                <w:spacing w:val="-6"/>
                <w:kern w:val="21"/>
                <w:szCs w:val="24"/>
              </w:rPr>
              <w:t>废</w:t>
            </w:r>
            <w:r>
              <w:rPr>
                <w:rFonts w:hint="eastAsia" w:ascii="黑体" w:hAnsi="黑体" w:eastAsia="黑体"/>
                <w:snapToGrid w:val="0"/>
                <w:spacing w:val="-6"/>
                <w:kern w:val="21"/>
                <w:szCs w:val="24"/>
              </w:rPr>
              <w:t>物</w:t>
            </w:r>
            <w:r>
              <w:rPr>
                <w:rFonts w:ascii="黑体" w:hAnsi="黑体" w:eastAsia="黑体"/>
                <w:snapToGrid w:val="0"/>
                <w:spacing w:val="-6"/>
                <w:kern w:val="21"/>
                <w:szCs w:val="24"/>
              </w:rPr>
              <w:t>产生量）</w:t>
            </w:r>
            <w:r>
              <w:rPr>
                <w:rFonts w:ascii="黑体" w:hAnsi="黑体" w:eastAsia="黑体"/>
                <w:snapToGrid w:val="0"/>
                <w:spacing w:val="-6"/>
                <w:kern w:val="21"/>
                <w:szCs w:val="24"/>
              </w:rPr>
              <w:fldChar w:fldCharType="begin"/>
            </w:r>
            <w:r>
              <w:rPr>
                <w:rFonts w:ascii="黑体" w:hAnsi="黑体" w:eastAsia="黑体"/>
                <w:snapToGrid w:val="0"/>
                <w:spacing w:val="-6"/>
                <w:kern w:val="21"/>
                <w:szCs w:val="24"/>
              </w:rPr>
              <w:instrText xml:space="preserve"> = 3 \* GB3 \* MERGEFORMAT </w:instrText>
            </w:r>
            <w:r>
              <w:rPr>
                <w:rFonts w:ascii="黑体" w:hAnsi="黑体" w:eastAsia="黑体"/>
                <w:snapToGrid w:val="0"/>
                <w:spacing w:val="-6"/>
                <w:kern w:val="21"/>
                <w:szCs w:val="24"/>
              </w:rPr>
              <w:fldChar w:fldCharType="separate"/>
            </w:r>
            <w:r>
              <w:rPr>
                <w:rFonts w:hint="eastAsia" w:ascii="黑体" w:hAnsi="黑体" w:eastAsia="黑体" w:cs="宋体"/>
                <w:szCs w:val="24"/>
              </w:rPr>
              <w:t>③</w:t>
            </w:r>
            <w:r>
              <w:rPr>
                <w:rFonts w:ascii="黑体" w:hAnsi="黑体" w:eastAsia="黑体"/>
                <w:snapToGrid w:val="0"/>
                <w:spacing w:val="-6"/>
                <w:kern w:val="21"/>
                <w:szCs w:val="24"/>
              </w:rPr>
              <w:fldChar w:fldCharType="end"/>
            </w:r>
          </w:p>
        </w:tc>
        <w:tc>
          <w:tcPr>
            <w:tcW w:w="1559" w:type="dxa"/>
            <w:tcMar>
              <w:left w:w="28" w:type="dxa"/>
              <w:right w:w="28" w:type="dxa"/>
            </w:tcMar>
            <w:vAlign w:val="center"/>
          </w:tcPr>
          <w:p>
            <w:pPr>
              <w:pStyle w:val="77"/>
              <w:spacing w:line="240" w:lineRule="auto"/>
              <w:ind w:firstLine="0" w:firstLineChars="0"/>
              <w:rPr>
                <w:rFonts w:ascii="黑体" w:hAnsi="黑体" w:eastAsia="黑体"/>
                <w:snapToGrid w:val="0"/>
                <w:spacing w:val="-6"/>
                <w:kern w:val="21"/>
                <w:szCs w:val="24"/>
              </w:rPr>
            </w:pPr>
            <w:r>
              <w:rPr>
                <w:rFonts w:ascii="黑体" w:hAnsi="黑体" w:eastAsia="黑体"/>
                <w:snapToGrid w:val="0"/>
                <w:spacing w:val="-6"/>
                <w:kern w:val="21"/>
                <w:szCs w:val="24"/>
              </w:rPr>
              <w:t>本项目</w:t>
            </w:r>
          </w:p>
          <w:p>
            <w:pPr>
              <w:pStyle w:val="77"/>
              <w:spacing w:line="240" w:lineRule="auto"/>
              <w:ind w:firstLine="0" w:firstLineChars="0"/>
              <w:rPr>
                <w:rFonts w:ascii="黑体" w:hAnsi="黑体" w:eastAsia="黑体"/>
                <w:snapToGrid w:val="0"/>
                <w:spacing w:val="-6"/>
                <w:kern w:val="21"/>
                <w:szCs w:val="24"/>
              </w:rPr>
            </w:pPr>
            <w:r>
              <w:rPr>
                <w:rFonts w:ascii="黑体" w:hAnsi="黑体" w:eastAsia="黑体"/>
                <w:snapToGrid w:val="0"/>
                <w:spacing w:val="-6"/>
                <w:kern w:val="21"/>
                <w:szCs w:val="24"/>
              </w:rPr>
              <w:t>排放量（固</w:t>
            </w:r>
            <w:r>
              <w:rPr>
                <w:rFonts w:hint="eastAsia" w:ascii="黑体" w:hAnsi="黑体" w:eastAsia="黑体"/>
                <w:snapToGrid w:val="0"/>
                <w:spacing w:val="-6"/>
                <w:kern w:val="21"/>
                <w:szCs w:val="24"/>
              </w:rPr>
              <w:t>体</w:t>
            </w:r>
            <w:r>
              <w:rPr>
                <w:rFonts w:ascii="黑体" w:hAnsi="黑体" w:eastAsia="黑体"/>
                <w:snapToGrid w:val="0"/>
                <w:spacing w:val="-6"/>
                <w:kern w:val="21"/>
                <w:szCs w:val="24"/>
              </w:rPr>
              <w:t>废</w:t>
            </w:r>
            <w:r>
              <w:rPr>
                <w:rFonts w:hint="eastAsia" w:ascii="黑体" w:hAnsi="黑体" w:eastAsia="黑体"/>
                <w:snapToGrid w:val="0"/>
                <w:spacing w:val="-6"/>
                <w:kern w:val="21"/>
                <w:szCs w:val="24"/>
              </w:rPr>
              <w:t>物</w:t>
            </w:r>
            <w:r>
              <w:rPr>
                <w:rFonts w:ascii="黑体" w:hAnsi="黑体" w:eastAsia="黑体"/>
                <w:snapToGrid w:val="0"/>
                <w:spacing w:val="-6"/>
                <w:kern w:val="21"/>
                <w:szCs w:val="24"/>
              </w:rPr>
              <w:t>产生量）</w:t>
            </w:r>
            <w:r>
              <w:rPr>
                <w:rFonts w:ascii="黑体" w:hAnsi="黑体" w:eastAsia="黑体"/>
                <w:snapToGrid w:val="0"/>
                <w:spacing w:val="-6"/>
                <w:kern w:val="21"/>
                <w:szCs w:val="24"/>
              </w:rPr>
              <w:fldChar w:fldCharType="begin"/>
            </w:r>
            <w:r>
              <w:rPr>
                <w:rFonts w:ascii="黑体" w:hAnsi="黑体" w:eastAsia="黑体"/>
                <w:snapToGrid w:val="0"/>
                <w:spacing w:val="-6"/>
                <w:kern w:val="21"/>
                <w:szCs w:val="24"/>
              </w:rPr>
              <w:instrText xml:space="preserve"> = 4 \* GB3 \* MERGEFORMAT </w:instrText>
            </w:r>
            <w:r>
              <w:rPr>
                <w:rFonts w:ascii="黑体" w:hAnsi="黑体" w:eastAsia="黑体"/>
                <w:snapToGrid w:val="0"/>
                <w:spacing w:val="-6"/>
                <w:kern w:val="21"/>
                <w:szCs w:val="24"/>
              </w:rPr>
              <w:fldChar w:fldCharType="separate"/>
            </w:r>
            <w:r>
              <w:rPr>
                <w:rFonts w:hint="eastAsia" w:ascii="黑体" w:hAnsi="黑体" w:eastAsia="黑体" w:cs="宋体"/>
                <w:szCs w:val="24"/>
              </w:rPr>
              <w:t>④</w:t>
            </w:r>
            <w:r>
              <w:rPr>
                <w:rFonts w:ascii="黑体" w:hAnsi="黑体" w:eastAsia="黑体"/>
                <w:snapToGrid w:val="0"/>
                <w:spacing w:val="-6"/>
                <w:kern w:val="21"/>
                <w:szCs w:val="24"/>
              </w:rPr>
              <w:fldChar w:fldCharType="end"/>
            </w:r>
          </w:p>
        </w:tc>
        <w:tc>
          <w:tcPr>
            <w:tcW w:w="1761" w:type="dxa"/>
            <w:tcMar>
              <w:left w:w="28" w:type="dxa"/>
              <w:right w:w="28" w:type="dxa"/>
            </w:tcMar>
            <w:vAlign w:val="center"/>
          </w:tcPr>
          <w:p>
            <w:pPr>
              <w:pStyle w:val="77"/>
              <w:spacing w:line="240" w:lineRule="auto"/>
              <w:ind w:firstLine="0" w:firstLineChars="0"/>
              <w:rPr>
                <w:rFonts w:ascii="黑体" w:hAnsi="黑体" w:eastAsia="黑体"/>
                <w:snapToGrid w:val="0"/>
                <w:spacing w:val="-16"/>
                <w:kern w:val="21"/>
                <w:szCs w:val="24"/>
              </w:rPr>
            </w:pPr>
            <w:r>
              <w:rPr>
                <w:rFonts w:ascii="黑体" w:hAnsi="黑体" w:eastAsia="黑体"/>
                <w:snapToGrid w:val="0"/>
                <w:spacing w:val="-16"/>
                <w:kern w:val="21"/>
                <w:szCs w:val="24"/>
              </w:rPr>
              <w:t>以新带老削减量</w:t>
            </w:r>
          </w:p>
          <w:p>
            <w:pPr>
              <w:pStyle w:val="77"/>
              <w:spacing w:line="240" w:lineRule="auto"/>
              <w:ind w:firstLine="0" w:firstLineChars="0"/>
              <w:rPr>
                <w:rFonts w:ascii="黑体" w:hAnsi="黑体" w:eastAsia="黑体"/>
                <w:snapToGrid w:val="0"/>
                <w:spacing w:val="-16"/>
                <w:kern w:val="21"/>
                <w:szCs w:val="24"/>
              </w:rPr>
            </w:pPr>
            <w:r>
              <w:rPr>
                <w:rFonts w:ascii="黑体" w:hAnsi="黑体" w:eastAsia="黑体"/>
                <w:snapToGrid w:val="0"/>
                <w:spacing w:val="-16"/>
                <w:kern w:val="21"/>
                <w:szCs w:val="24"/>
              </w:rPr>
              <w:t>（新建项目不填）</w:t>
            </w:r>
            <w:r>
              <w:rPr>
                <w:rFonts w:ascii="黑体" w:hAnsi="黑体" w:eastAsia="黑体"/>
                <w:snapToGrid w:val="0"/>
                <w:spacing w:val="-16"/>
                <w:kern w:val="21"/>
                <w:szCs w:val="24"/>
              </w:rPr>
              <w:fldChar w:fldCharType="begin"/>
            </w:r>
            <w:r>
              <w:rPr>
                <w:rFonts w:ascii="黑体" w:hAnsi="黑体" w:eastAsia="黑体"/>
                <w:snapToGrid w:val="0"/>
                <w:spacing w:val="-16"/>
                <w:kern w:val="21"/>
                <w:szCs w:val="24"/>
              </w:rPr>
              <w:instrText xml:space="preserve"> = 5 \* GB3 \* MERGEFORMAT </w:instrText>
            </w:r>
            <w:r>
              <w:rPr>
                <w:rFonts w:ascii="黑体" w:hAnsi="黑体" w:eastAsia="黑体"/>
                <w:snapToGrid w:val="0"/>
                <w:spacing w:val="-16"/>
                <w:kern w:val="21"/>
                <w:szCs w:val="24"/>
              </w:rPr>
              <w:fldChar w:fldCharType="separate"/>
            </w:r>
            <w:r>
              <w:rPr>
                <w:rFonts w:hint="eastAsia" w:ascii="黑体" w:hAnsi="黑体" w:eastAsia="黑体" w:cs="宋体"/>
                <w:szCs w:val="24"/>
              </w:rPr>
              <w:t>⑤</w:t>
            </w:r>
            <w:r>
              <w:rPr>
                <w:rFonts w:ascii="黑体" w:hAnsi="黑体" w:eastAsia="黑体"/>
                <w:snapToGrid w:val="0"/>
                <w:spacing w:val="-16"/>
                <w:kern w:val="21"/>
                <w:szCs w:val="24"/>
              </w:rPr>
              <w:fldChar w:fldCharType="end"/>
            </w:r>
          </w:p>
        </w:tc>
        <w:tc>
          <w:tcPr>
            <w:tcW w:w="1959" w:type="dxa"/>
            <w:tcMar>
              <w:left w:w="28" w:type="dxa"/>
              <w:right w:w="28" w:type="dxa"/>
            </w:tcMar>
            <w:vAlign w:val="center"/>
          </w:tcPr>
          <w:p>
            <w:pPr>
              <w:pStyle w:val="77"/>
              <w:spacing w:line="240" w:lineRule="auto"/>
              <w:ind w:firstLine="0" w:firstLineChars="0"/>
              <w:rPr>
                <w:rFonts w:ascii="黑体" w:hAnsi="黑体" w:eastAsia="黑体"/>
                <w:snapToGrid w:val="0"/>
                <w:spacing w:val="-16"/>
                <w:kern w:val="21"/>
                <w:szCs w:val="24"/>
              </w:rPr>
            </w:pPr>
            <w:r>
              <w:rPr>
                <w:rFonts w:ascii="黑体" w:hAnsi="黑体" w:eastAsia="黑体"/>
                <w:snapToGrid w:val="0"/>
                <w:spacing w:val="-16"/>
                <w:kern w:val="21"/>
                <w:szCs w:val="24"/>
              </w:rPr>
              <w:t>本项目建成后</w:t>
            </w:r>
          </w:p>
          <w:p>
            <w:pPr>
              <w:pStyle w:val="77"/>
              <w:spacing w:line="240" w:lineRule="auto"/>
              <w:ind w:firstLine="0" w:firstLineChars="0"/>
              <w:rPr>
                <w:rFonts w:ascii="黑体" w:hAnsi="黑体" w:eastAsia="黑体"/>
                <w:snapToGrid w:val="0"/>
                <w:spacing w:val="-16"/>
                <w:kern w:val="21"/>
                <w:szCs w:val="24"/>
              </w:rPr>
            </w:pPr>
            <w:r>
              <w:rPr>
                <w:rFonts w:hint="eastAsia" w:ascii="黑体" w:hAnsi="黑体" w:eastAsia="黑体"/>
                <w:snapToGrid w:val="0"/>
                <w:spacing w:val="-16"/>
                <w:kern w:val="21"/>
                <w:szCs w:val="24"/>
              </w:rPr>
              <w:t>全厂</w:t>
            </w:r>
            <w:r>
              <w:rPr>
                <w:rFonts w:ascii="黑体" w:hAnsi="黑体" w:eastAsia="黑体"/>
                <w:snapToGrid w:val="0"/>
                <w:spacing w:val="-16"/>
                <w:kern w:val="21"/>
                <w:szCs w:val="24"/>
              </w:rPr>
              <w:t>排放量（固</w:t>
            </w:r>
            <w:r>
              <w:rPr>
                <w:rFonts w:hint="eastAsia" w:ascii="黑体" w:hAnsi="黑体" w:eastAsia="黑体"/>
                <w:snapToGrid w:val="0"/>
                <w:spacing w:val="-16"/>
                <w:kern w:val="21"/>
                <w:szCs w:val="24"/>
              </w:rPr>
              <w:t>体</w:t>
            </w:r>
            <w:r>
              <w:rPr>
                <w:rFonts w:ascii="黑体" w:hAnsi="黑体" w:eastAsia="黑体"/>
                <w:snapToGrid w:val="0"/>
                <w:spacing w:val="-16"/>
                <w:kern w:val="21"/>
                <w:szCs w:val="24"/>
              </w:rPr>
              <w:t>废</w:t>
            </w:r>
            <w:r>
              <w:rPr>
                <w:rFonts w:hint="eastAsia" w:ascii="黑体" w:hAnsi="黑体" w:eastAsia="黑体"/>
                <w:snapToGrid w:val="0"/>
                <w:spacing w:val="-16"/>
                <w:kern w:val="21"/>
                <w:szCs w:val="24"/>
              </w:rPr>
              <w:t>物</w:t>
            </w:r>
            <w:r>
              <w:rPr>
                <w:rFonts w:ascii="黑体" w:hAnsi="黑体" w:eastAsia="黑体"/>
                <w:snapToGrid w:val="0"/>
                <w:spacing w:val="-16"/>
                <w:kern w:val="21"/>
                <w:szCs w:val="24"/>
              </w:rPr>
              <w:t>产生量）</w:t>
            </w:r>
            <w:r>
              <w:rPr>
                <w:rFonts w:ascii="黑体" w:hAnsi="黑体" w:eastAsia="黑体"/>
                <w:snapToGrid w:val="0"/>
                <w:spacing w:val="-16"/>
                <w:kern w:val="21"/>
                <w:szCs w:val="24"/>
              </w:rPr>
              <w:fldChar w:fldCharType="begin"/>
            </w:r>
            <w:r>
              <w:rPr>
                <w:rFonts w:ascii="黑体" w:hAnsi="黑体" w:eastAsia="黑体"/>
                <w:snapToGrid w:val="0"/>
                <w:spacing w:val="-16"/>
                <w:kern w:val="21"/>
                <w:szCs w:val="24"/>
              </w:rPr>
              <w:instrText xml:space="preserve"> = 6 \* GB3 \* MERGEFORMAT </w:instrText>
            </w:r>
            <w:r>
              <w:rPr>
                <w:rFonts w:ascii="黑体" w:hAnsi="黑体" w:eastAsia="黑体"/>
                <w:snapToGrid w:val="0"/>
                <w:spacing w:val="-16"/>
                <w:kern w:val="21"/>
                <w:szCs w:val="24"/>
              </w:rPr>
              <w:fldChar w:fldCharType="separate"/>
            </w:r>
            <w:r>
              <w:rPr>
                <w:rFonts w:hint="eastAsia" w:ascii="黑体" w:hAnsi="黑体" w:eastAsia="黑体" w:cs="宋体"/>
                <w:szCs w:val="24"/>
              </w:rPr>
              <w:t>⑥</w:t>
            </w:r>
            <w:r>
              <w:rPr>
                <w:rFonts w:ascii="黑体" w:hAnsi="黑体" w:eastAsia="黑体"/>
                <w:snapToGrid w:val="0"/>
                <w:spacing w:val="-16"/>
                <w:kern w:val="21"/>
                <w:szCs w:val="24"/>
              </w:rPr>
              <w:fldChar w:fldCharType="end"/>
            </w:r>
          </w:p>
        </w:tc>
        <w:tc>
          <w:tcPr>
            <w:tcW w:w="826" w:type="dxa"/>
            <w:tcMar>
              <w:left w:w="28" w:type="dxa"/>
              <w:right w:w="28" w:type="dxa"/>
            </w:tcMar>
            <w:vAlign w:val="center"/>
          </w:tcPr>
          <w:p>
            <w:pPr>
              <w:pStyle w:val="77"/>
              <w:spacing w:line="240" w:lineRule="auto"/>
              <w:ind w:firstLine="0" w:firstLineChars="0"/>
              <w:rPr>
                <w:rFonts w:ascii="黑体" w:hAnsi="黑体" w:eastAsia="黑体"/>
                <w:snapToGrid w:val="0"/>
                <w:spacing w:val="-6"/>
                <w:kern w:val="21"/>
                <w:szCs w:val="24"/>
              </w:rPr>
            </w:pPr>
            <w:r>
              <w:rPr>
                <w:rFonts w:ascii="黑体" w:hAnsi="黑体" w:eastAsia="黑体"/>
                <w:snapToGrid w:val="0"/>
                <w:spacing w:val="-6"/>
                <w:kern w:val="21"/>
                <w:szCs w:val="24"/>
              </w:rPr>
              <w:t>变化量</w:t>
            </w:r>
          </w:p>
          <w:p>
            <w:pPr>
              <w:pStyle w:val="77"/>
              <w:spacing w:line="240" w:lineRule="auto"/>
              <w:ind w:firstLine="0" w:firstLineChars="0"/>
              <w:rPr>
                <w:rFonts w:ascii="黑体" w:hAnsi="黑体" w:eastAsia="黑体"/>
                <w:snapToGrid w:val="0"/>
                <w:spacing w:val="-6"/>
                <w:kern w:val="21"/>
                <w:szCs w:val="24"/>
              </w:rPr>
            </w:pPr>
            <w:r>
              <w:rPr>
                <w:rFonts w:ascii="黑体" w:hAnsi="黑体" w:eastAsia="黑体"/>
                <w:snapToGrid w:val="0"/>
                <w:spacing w:val="-6"/>
                <w:kern w:val="21"/>
                <w:szCs w:val="24"/>
              </w:rPr>
              <w:fldChar w:fldCharType="begin"/>
            </w:r>
            <w:r>
              <w:rPr>
                <w:rFonts w:ascii="黑体" w:hAnsi="黑体" w:eastAsia="黑体"/>
                <w:snapToGrid w:val="0"/>
                <w:spacing w:val="-6"/>
                <w:kern w:val="21"/>
                <w:szCs w:val="24"/>
              </w:rPr>
              <w:instrText xml:space="preserve"> = 7 \* GB3 \* MERGEFORMAT </w:instrText>
            </w:r>
            <w:r>
              <w:rPr>
                <w:rFonts w:ascii="黑体" w:hAnsi="黑体" w:eastAsia="黑体"/>
                <w:snapToGrid w:val="0"/>
                <w:spacing w:val="-6"/>
                <w:kern w:val="21"/>
                <w:szCs w:val="24"/>
              </w:rPr>
              <w:fldChar w:fldCharType="separate"/>
            </w:r>
            <w:r>
              <w:rPr>
                <w:rFonts w:hint="eastAsia" w:ascii="黑体" w:hAnsi="黑体" w:eastAsia="黑体" w:cs="宋体"/>
                <w:szCs w:val="24"/>
              </w:rPr>
              <w:t>⑦</w:t>
            </w:r>
            <w:r>
              <w:rPr>
                <w:rFonts w:ascii="黑体" w:hAnsi="黑体" w:eastAsia="黑体"/>
                <w:snapToGrid w:val="0"/>
                <w:spacing w:val="-6"/>
                <w:kern w:val="21"/>
                <w:szCs w:val="24"/>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废气</w:t>
            </w:r>
          </w:p>
        </w:tc>
        <w:tc>
          <w:tcPr>
            <w:tcW w:w="1417"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异味</w:t>
            </w:r>
          </w:p>
        </w:tc>
        <w:tc>
          <w:tcPr>
            <w:tcW w:w="170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276"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70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559"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76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959"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826" w:type="dxa"/>
            <w:vAlign w:val="center"/>
          </w:tcPr>
          <w:p>
            <w:pPr>
              <w:pStyle w:val="77"/>
              <w:spacing w:line="240" w:lineRule="auto"/>
              <w:ind w:firstLine="0" w:firstLineChars="0"/>
              <w:rPr>
                <w:rFonts w:hAnsi="宋体" w:cs="宋体"/>
                <w:snapToGrid w:val="0"/>
                <w:kern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77"/>
              <w:spacing w:line="240" w:lineRule="auto"/>
              <w:ind w:firstLine="0" w:firstLineChars="0"/>
              <w:rPr>
                <w:rFonts w:hAnsi="宋体" w:cs="宋体"/>
                <w:snapToGrid w:val="0"/>
                <w:kern w:val="21"/>
                <w:szCs w:val="24"/>
              </w:rPr>
            </w:pPr>
          </w:p>
        </w:tc>
        <w:tc>
          <w:tcPr>
            <w:tcW w:w="1417"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70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276"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70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559"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76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959"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826"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588" w:type="dxa"/>
            <w:vMerge w:val="restart"/>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废水</w:t>
            </w:r>
          </w:p>
        </w:tc>
        <w:tc>
          <w:tcPr>
            <w:tcW w:w="1417" w:type="dxa"/>
            <w:vAlign w:val="center"/>
          </w:tcPr>
          <w:p>
            <w:pPr>
              <w:adjustRightInd w:val="0"/>
              <w:snapToGrid w:val="0"/>
              <w:spacing w:line="240" w:lineRule="auto"/>
              <w:ind w:firstLine="0" w:firstLineChars="0"/>
              <w:jc w:val="center"/>
              <w:textAlignment w:val="baseline"/>
              <w:rPr>
                <w:rFonts w:hAnsi="宋体" w:cs="宋体"/>
                <w:snapToGrid w:val="0"/>
                <w:kern w:val="21"/>
                <w:szCs w:val="24"/>
              </w:rPr>
            </w:pPr>
            <w:r>
              <w:rPr>
                <w:rFonts w:eastAsia="宋体" w:cs="Times New Roman"/>
                <w:szCs w:val="24"/>
              </w:rPr>
              <w:t>COD</w:t>
            </w:r>
            <w:r>
              <w:rPr>
                <w:rFonts w:eastAsia="宋体" w:cs="Times New Roman"/>
                <w:szCs w:val="24"/>
                <w:vertAlign w:val="subscript"/>
              </w:rPr>
              <w:t>cr</w:t>
            </w:r>
          </w:p>
        </w:tc>
        <w:tc>
          <w:tcPr>
            <w:tcW w:w="170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276"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70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559" w:type="dxa"/>
            <w:vAlign w:val="center"/>
          </w:tcPr>
          <w:p>
            <w:pPr>
              <w:widowControl/>
              <w:ind w:firstLine="0" w:firstLineChars="0"/>
              <w:jc w:val="center"/>
              <w:textAlignment w:val="center"/>
              <w:rPr>
                <w:rFonts w:hAnsi="宋体" w:cs="宋体"/>
                <w:snapToGrid w:val="0"/>
                <w:kern w:val="21"/>
                <w:szCs w:val="24"/>
              </w:rPr>
            </w:pPr>
            <w:r>
              <w:rPr>
                <w:rFonts w:hint="eastAsia" w:cs="Times New Roman"/>
                <w:kern w:val="0"/>
                <w:szCs w:val="24"/>
              </w:rPr>
              <w:t>0.25</w:t>
            </w:r>
          </w:p>
        </w:tc>
        <w:tc>
          <w:tcPr>
            <w:tcW w:w="176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959" w:type="dxa"/>
            <w:vAlign w:val="center"/>
          </w:tcPr>
          <w:p>
            <w:pPr>
              <w:widowControl/>
              <w:ind w:firstLine="0" w:firstLineChars="0"/>
              <w:jc w:val="center"/>
              <w:textAlignment w:val="center"/>
              <w:rPr>
                <w:rFonts w:hAnsi="宋体" w:cs="宋体"/>
                <w:snapToGrid w:val="0"/>
                <w:kern w:val="21"/>
                <w:szCs w:val="24"/>
              </w:rPr>
            </w:pPr>
            <w:r>
              <w:rPr>
                <w:rFonts w:hint="eastAsia" w:cs="Times New Roman"/>
                <w:kern w:val="0"/>
                <w:szCs w:val="24"/>
              </w:rPr>
              <w:t>0.25</w:t>
            </w:r>
          </w:p>
        </w:tc>
        <w:tc>
          <w:tcPr>
            <w:tcW w:w="826"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588" w:type="dxa"/>
            <w:vMerge w:val="continue"/>
            <w:vAlign w:val="center"/>
          </w:tcPr>
          <w:p>
            <w:pPr>
              <w:pStyle w:val="77"/>
              <w:spacing w:line="240" w:lineRule="auto"/>
              <w:ind w:firstLine="0" w:firstLineChars="0"/>
              <w:rPr>
                <w:rFonts w:hAnsi="宋体" w:cs="宋体"/>
                <w:snapToGrid w:val="0"/>
                <w:kern w:val="21"/>
                <w:szCs w:val="24"/>
              </w:rPr>
            </w:pPr>
          </w:p>
        </w:tc>
        <w:tc>
          <w:tcPr>
            <w:tcW w:w="1417" w:type="dxa"/>
            <w:vAlign w:val="center"/>
          </w:tcPr>
          <w:p>
            <w:pPr>
              <w:adjustRightInd w:val="0"/>
              <w:snapToGrid w:val="0"/>
              <w:spacing w:line="240" w:lineRule="auto"/>
              <w:ind w:firstLine="0" w:firstLineChars="0"/>
              <w:jc w:val="center"/>
              <w:textAlignment w:val="baseline"/>
              <w:rPr>
                <w:rFonts w:hAnsi="宋体" w:cs="宋体"/>
                <w:snapToGrid w:val="0"/>
                <w:kern w:val="21"/>
                <w:szCs w:val="24"/>
              </w:rPr>
            </w:pPr>
            <w:r>
              <w:rPr>
                <w:rFonts w:eastAsia="宋体" w:cs="Times New Roman"/>
                <w:szCs w:val="24"/>
              </w:rPr>
              <w:t>BOD</w:t>
            </w:r>
            <w:r>
              <w:rPr>
                <w:rFonts w:eastAsia="宋体" w:cs="Times New Roman"/>
                <w:szCs w:val="24"/>
                <w:vertAlign w:val="subscript"/>
              </w:rPr>
              <w:t>5</w:t>
            </w:r>
          </w:p>
        </w:tc>
        <w:tc>
          <w:tcPr>
            <w:tcW w:w="170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276"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70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559" w:type="dxa"/>
            <w:vAlign w:val="center"/>
          </w:tcPr>
          <w:p>
            <w:pPr>
              <w:widowControl/>
              <w:ind w:firstLine="0" w:firstLineChars="0"/>
              <w:jc w:val="center"/>
              <w:textAlignment w:val="center"/>
              <w:rPr>
                <w:rFonts w:hAnsi="宋体" w:cs="宋体"/>
                <w:snapToGrid w:val="0"/>
                <w:kern w:val="21"/>
                <w:szCs w:val="24"/>
              </w:rPr>
            </w:pPr>
            <w:r>
              <w:rPr>
                <w:rFonts w:hint="eastAsia" w:cs="Times New Roman"/>
                <w:kern w:val="0"/>
                <w:szCs w:val="24"/>
              </w:rPr>
              <w:t>0.08</w:t>
            </w:r>
          </w:p>
        </w:tc>
        <w:tc>
          <w:tcPr>
            <w:tcW w:w="176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959" w:type="dxa"/>
            <w:vAlign w:val="center"/>
          </w:tcPr>
          <w:p>
            <w:pPr>
              <w:widowControl/>
              <w:ind w:firstLine="0" w:firstLineChars="0"/>
              <w:jc w:val="center"/>
              <w:textAlignment w:val="center"/>
              <w:rPr>
                <w:rFonts w:hAnsi="宋体" w:cs="宋体"/>
                <w:snapToGrid w:val="0"/>
                <w:kern w:val="21"/>
                <w:szCs w:val="24"/>
              </w:rPr>
            </w:pPr>
            <w:r>
              <w:rPr>
                <w:rFonts w:hint="eastAsia" w:cs="Times New Roman"/>
                <w:kern w:val="0"/>
                <w:szCs w:val="24"/>
              </w:rPr>
              <w:t>0.08</w:t>
            </w:r>
          </w:p>
        </w:tc>
        <w:tc>
          <w:tcPr>
            <w:tcW w:w="826"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588" w:type="dxa"/>
            <w:vMerge w:val="continue"/>
            <w:vAlign w:val="center"/>
          </w:tcPr>
          <w:p>
            <w:pPr>
              <w:pStyle w:val="77"/>
              <w:spacing w:line="240" w:lineRule="auto"/>
              <w:ind w:firstLine="0" w:firstLineChars="0"/>
              <w:rPr>
                <w:rFonts w:hAnsi="宋体" w:cs="宋体"/>
                <w:snapToGrid w:val="0"/>
                <w:kern w:val="21"/>
                <w:szCs w:val="24"/>
              </w:rPr>
            </w:pPr>
          </w:p>
        </w:tc>
        <w:tc>
          <w:tcPr>
            <w:tcW w:w="1417" w:type="dxa"/>
            <w:vAlign w:val="center"/>
          </w:tcPr>
          <w:p>
            <w:pPr>
              <w:adjustRightInd w:val="0"/>
              <w:snapToGrid w:val="0"/>
              <w:spacing w:line="240" w:lineRule="auto"/>
              <w:ind w:firstLine="0" w:firstLineChars="0"/>
              <w:jc w:val="center"/>
              <w:textAlignment w:val="baseline"/>
              <w:rPr>
                <w:rFonts w:hAnsi="宋体" w:cs="宋体"/>
                <w:snapToGrid w:val="0"/>
                <w:kern w:val="21"/>
                <w:szCs w:val="24"/>
              </w:rPr>
            </w:pPr>
            <w:r>
              <w:rPr>
                <w:rFonts w:eastAsia="宋体" w:cs="Times New Roman"/>
                <w:szCs w:val="24"/>
              </w:rPr>
              <w:t>SS</w:t>
            </w:r>
          </w:p>
        </w:tc>
        <w:tc>
          <w:tcPr>
            <w:tcW w:w="170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276"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70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559" w:type="dxa"/>
            <w:vAlign w:val="center"/>
          </w:tcPr>
          <w:p>
            <w:pPr>
              <w:widowControl/>
              <w:ind w:firstLine="0" w:firstLineChars="0"/>
              <w:jc w:val="center"/>
              <w:textAlignment w:val="center"/>
              <w:rPr>
                <w:rFonts w:hAnsi="宋体" w:cs="宋体"/>
                <w:snapToGrid w:val="0"/>
                <w:kern w:val="21"/>
                <w:szCs w:val="24"/>
              </w:rPr>
            </w:pPr>
            <w:r>
              <w:rPr>
                <w:rFonts w:hint="eastAsia" w:cs="Times New Roman"/>
                <w:kern w:val="0"/>
                <w:szCs w:val="24"/>
              </w:rPr>
              <w:t>0.08</w:t>
            </w:r>
          </w:p>
        </w:tc>
        <w:tc>
          <w:tcPr>
            <w:tcW w:w="176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959" w:type="dxa"/>
            <w:vAlign w:val="center"/>
          </w:tcPr>
          <w:p>
            <w:pPr>
              <w:widowControl/>
              <w:ind w:firstLine="0" w:firstLineChars="0"/>
              <w:jc w:val="center"/>
              <w:textAlignment w:val="center"/>
              <w:rPr>
                <w:rFonts w:hAnsi="宋体" w:cs="宋体"/>
                <w:snapToGrid w:val="0"/>
                <w:kern w:val="21"/>
                <w:szCs w:val="24"/>
              </w:rPr>
            </w:pPr>
            <w:r>
              <w:rPr>
                <w:rFonts w:hint="eastAsia" w:cs="Times New Roman"/>
                <w:kern w:val="0"/>
                <w:szCs w:val="24"/>
              </w:rPr>
              <w:t>0.08</w:t>
            </w:r>
          </w:p>
        </w:tc>
        <w:tc>
          <w:tcPr>
            <w:tcW w:w="826"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88" w:type="dxa"/>
            <w:vMerge w:val="continue"/>
            <w:vAlign w:val="center"/>
          </w:tcPr>
          <w:p>
            <w:pPr>
              <w:pStyle w:val="77"/>
              <w:spacing w:line="240" w:lineRule="auto"/>
              <w:ind w:firstLine="0" w:firstLineChars="0"/>
              <w:rPr>
                <w:rFonts w:hAnsi="宋体" w:cs="宋体"/>
                <w:snapToGrid w:val="0"/>
                <w:kern w:val="21"/>
                <w:szCs w:val="24"/>
              </w:rPr>
            </w:pPr>
          </w:p>
        </w:tc>
        <w:tc>
          <w:tcPr>
            <w:tcW w:w="1417" w:type="dxa"/>
            <w:vAlign w:val="center"/>
          </w:tcPr>
          <w:p>
            <w:pPr>
              <w:adjustRightInd w:val="0"/>
              <w:snapToGrid w:val="0"/>
              <w:spacing w:line="240" w:lineRule="auto"/>
              <w:ind w:firstLine="0" w:firstLineChars="0"/>
              <w:jc w:val="center"/>
              <w:textAlignment w:val="baseline"/>
              <w:rPr>
                <w:rFonts w:hAnsi="宋体" w:cs="宋体"/>
                <w:snapToGrid w:val="0"/>
                <w:kern w:val="21"/>
                <w:szCs w:val="24"/>
              </w:rPr>
            </w:pPr>
            <w:r>
              <w:rPr>
                <w:rFonts w:eastAsia="宋体" w:cs="Times New Roman"/>
                <w:szCs w:val="24"/>
              </w:rPr>
              <w:t>氨氮</w:t>
            </w:r>
          </w:p>
        </w:tc>
        <w:tc>
          <w:tcPr>
            <w:tcW w:w="170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276"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70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559" w:type="dxa"/>
            <w:vAlign w:val="center"/>
          </w:tcPr>
          <w:p>
            <w:pPr>
              <w:widowControl/>
              <w:ind w:firstLine="0" w:firstLineChars="0"/>
              <w:jc w:val="center"/>
              <w:textAlignment w:val="center"/>
              <w:rPr>
                <w:rFonts w:hAnsi="宋体" w:cs="宋体"/>
                <w:snapToGrid w:val="0"/>
                <w:kern w:val="21"/>
                <w:szCs w:val="24"/>
              </w:rPr>
            </w:pPr>
            <w:r>
              <w:rPr>
                <w:rFonts w:hint="eastAsia" w:cs="Times New Roman"/>
                <w:kern w:val="0"/>
                <w:szCs w:val="24"/>
              </w:rPr>
              <w:t>0.06</w:t>
            </w:r>
          </w:p>
        </w:tc>
        <w:tc>
          <w:tcPr>
            <w:tcW w:w="176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959" w:type="dxa"/>
            <w:vAlign w:val="center"/>
          </w:tcPr>
          <w:p>
            <w:pPr>
              <w:widowControl/>
              <w:ind w:firstLine="0" w:firstLineChars="0"/>
              <w:jc w:val="center"/>
              <w:textAlignment w:val="center"/>
              <w:rPr>
                <w:rFonts w:hAnsi="宋体" w:cs="宋体"/>
                <w:snapToGrid w:val="0"/>
                <w:kern w:val="21"/>
                <w:szCs w:val="24"/>
              </w:rPr>
            </w:pPr>
            <w:r>
              <w:rPr>
                <w:rFonts w:hint="eastAsia" w:cs="Times New Roman"/>
                <w:kern w:val="0"/>
                <w:szCs w:val="24"/>
              </w:rPr>
              <w:t>0.06</w:t>
            </w:r>
          </w:p>
        </w:tc>
        <w:tc>
          <w:tcPr>
            <w:tcW w:w="826"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一般工业</w:t>
            </w:r>
          </w:p>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固体废物</w:t>
            </w:r>
          </w:p>
        </w:tc>
        <w:tc>
          <w:tcPr>
            <w:tcW w:w="1417"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70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276"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70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559"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76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959"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826"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77"/>
              <w:spacing w:line="240" w:lineRule="auto"/>
              <w:ind w:firstLine="0" w:firstLineChars="0"/>
              <w:rPr>
                <w:rFonts w:hAnsi="宋体" w:cs="宋体"/>
                <w:snapToGrid w:val="0"/>
                <w:kern w:val="21"/>
                <w:szCs w:val="24"/>
              </w:rPr>
            </w:pPr>
          </w:p>
        </w:tc>
        <w:tc>
          <w:tcPr>
            <w:tcW w:w="1417"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70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276"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70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559"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76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959"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826"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危险废物</w:t>
            </w:r>
          </w:p>
        </w:tc>
        <w:tc>
          <w:tcPr>
            <w:tcW w:w="1417" w:type="dxa"/>
            <w:vAlign w:val="center"/>
          </w:tcPr>
          <w:p>
            <w:pPr>
              <w:pStyle w:val="77"/>
              <w:spacing w:line="240" w:lineRule="auto"/>
              <w:ind w:firstLine="0" w:firstLineChars="0"/>
              <w:rPr>
                <w:rFonts w:hAnsi="宋体" w:eastAsia="宋体" w:cs="宋体"/>
                <w:snapToGrid w:val="0"/>
                <w:kern w:val="21"/>
                <w:szCs w:val="24"/>
              </w:rPr>
            </w:pPr>
            <w:r>
              <w:rPr>
                <w:rFonts w:hint="eastAsia" w:hAnsi="宋体" w:cs="宋体"/>
                <w:snapToGrid w:val="0"/>
                <w:kern w:val="21"/>
                <w:szCs w:val="24"/>
              </w:rPr>
              <w:t>医疗废物</w:t>
            </w:r>
          </w:p>
        </w:tc>
        <w:tc>
          <w:tcPr>
            <w:tcW w:w="170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276"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70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559"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17.13</w:t>
            </w:r>
          </w:p>
        </w:tc>
        <w:tc>
          <w:tcPr>
            <w:tcW w:w="176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959"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17.13</w:t>
            </w:r>
          </w:p>
        </w:tc>
        <w:tc>
          <w:tcPr>
            <w:tcW w:w="826"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77"/>
              <w:spacing w:line="240" w:lineRule="auto"/>
              <w:ind w:firstLine="0" w:firstLineChars="0"/>
              <w:rPr>
                <w:rFonts w:hAnsi="宋体" w:cs="宋体"/>
                <w:snapToGrid w:val="0"/>
                <w:kern w:val="21"/>
                <w:szCs w:val="24"/>
              </w:rPr>
            </w:pPr>
          </w:p>
        </w:tc>
        <w:tc>
          <w:tcPr>
            <w:tcW w:w="1417"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检验室废液</w:t>
            </w:r>
          </w:p>
        </w:tc>
        <w:tc>
          <w:tcPr>
            <w:tcW w:w="170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276"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70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559" w:type="dxa"/>
            <w:vAlign w:val="center"/>
          </w:tcPr>
          <w:p>
            <w:pPr>
              <w:pStyle w:val="77"/>
              <w:spacing w:line="240" w:lineRule="auto"/>
              <w:ind w:firstLine="0" w:firstLineChars="0"/>
            </w:pPr>
            <w:r>
              <w:rPr>
                <w:rFonts w:hint="eastAsia"/>
              </w:rPr>
              <w:t>29.2m</w:t>
            </w:r>
            <w:r>
              <w:rPr>
                <w:rFonts w:hint="eastAsia"/>
                <w:vertAlign w:val="superscript"/>
              </w:rPr>
              <w:t>3</w:t>
            </w:r>
            <w:r>
              <w:rPr>
                <w:rFonts w:hint="eastAsia"/>
              </w:rPr>
              <w:t>/a</w:t>
            </w:r>
          </w:p>
        </w:tc>
        <w:tc>
          <w:tcPr>
            <w:tcW w:w="176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959" w:type="dxa"/>
            <w:vAlign w:val="center"/>
          </w:tcPr>
          <w:p>
            <w:pPr>
              <w:pStyle w:val="77"/>
              <w:spacing w:line="240" w:lineRule="auto"/>
              <w:ind w:firstLine="0" w:firstLineChars="0"/>
              <w:rPr>
                <w:rFonts w:hAnsi="宋体" w:cs="宋体"/>
                <w:snapToGrid w:val="0"/>
                <w:kern w:val="21"/>
                <w:szCs w:val="24"/>
              </w:rPr>
            </w:pPr>
            <w:r>
              <w:rPr>
                <w:rFonts w:hint="eastAsia"/>
              </w:rPr>
              <w:t>29.2m</w:t>
            </w:r>
            <w:r>
              <w:rPr>
                <w:rFonts w:hint="eastAsia"/>
                <w:vertAlign w:val="superscript"/>
              </w:rPr>
              <w:t>3</w:t>
            </w:r>
            <w:r>
              <w:rPr>
                <w:rFonts w:hint="eastAsia"/>
              </w:rPr>
              <w:t>/a</w:t>
            </w:r>
          </w:p>
        </w:tc>
        <w:tc>
          <w:tcPr>
            <w:tcW w:w="826"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77"/>
              <w:spacing w:line="240" w:lineRule="auto"/>
              <w:ind w:firstLine="0" w:firstLineChars="0"/>
              <w:rPr>
                <w:rFonts w:hAnsi="宋体" w:cs="宋体"/>
                <w:snapToGrid w:val="0"/>
                <w:kern w:val="21"/>
                <w:szCs w:val="24"/>
              </w:rPr>
            </w:pPr>
          </w:p>
        </w:tc>
        <w:tc>
          <w:tcPr>
            <w:tcW w:w="1417"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70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276"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70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559"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761"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1959"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c>
          <w:tcPr>
            <w:tcW w:w="826" w:type="dxa"/>
            <w:vAlign w:val="center"/>
          </w:tcPr>
          <w:p>
            <w:pPr>
              <w:pStyle w:val="77"/>
              <w:spacing w:line="240" w:lineRule="auto"/>
              <w:ind w:firstLine="0" w:firstLineChars="0"/>
              <w:rPr>
                <w:rFonts w:hAnsi="宋体" w:cs="宋体"/>
                <w:snapToGrid w:val="0"/>
                <w:kern w:val="21"/>
                <w:szCs w:val="24"/>
              </w:rPr>
            </w:pPr>
            <w:r>
              <w:rPr>
                <w:rFonts w:hint="eastAsia" w:hAnsi="宋体" w:cs="宋体"/>
                <w:snapToGrid w:val="0"/>
                <w:kern w:val="21"/>
                <w:szCs w:val="24"/>
              </w:rPr>
              <w:t>/</w:t>
            </w:r>
          </w:p>
        </w:tc>
      </w:tr>
    </w:tbl>
    <w:p>
      <w:pPr>
        <w:ind w:firstLine="360"/>
        <w:rPr>
          <w:snapToGrid w:val="0"/>
          <w:sz w:val="18"/>
          <w:szCs w:val="18"/>
        </w:rPr>
      </w:pPr>
      <w:r>
        <w:rPr>
          <w:snapToGrid w:val="0"/>
          <w:sz w:val="18"/>
          <w:szCs w:val="18"/>
        </w:rPr>
        <w:t>注：</w:t>
      </w:r>
      <w:r>
        <w:rPr>
          <w:snapToGrid w:val="0"/>
          <w:spacing w:val="-16"/>
          <w:sz w:val="18"/>
          <w:szCs w:val="18"/>
        </w:rPr>
        <w:fldChar w:fldCharType="begin"/>
      </w:r>
      <w:r>
        <w:rPr>
          <w:snapToGrid w:val="0"/>
          <w:spacing w:val="-16"/>
          <w:sz w:val="18"/>
          <w:szCs w:val="18"/>
        </w:rPr>
        <w:instrText xml:space="preserve"> = 6 \* GB3 \* MERGEFORMAT </w:instrText>
      </w:r>
      <w:r>
        <w:rPr>
          <w:snapToGrid w:val="0"/>
          <w:spacing w:val="-16"/>
          <w:sz w:val="18"/>
          <w:szCs w:val="18"/>
        </w:rPr>
        <w:fldChar w:fldCharType="separate"/>
      </w:r>
      <w:r>
        <w:rPr>
          <w:rFonts w:hint="eastAsia"/>
          <w:sz w:val="18"/>
          <w:szCs w:val="18"/>
        </w:rPr>
        <w:t>⑥</w:t>
      </w:r>
      <w:r>
        <w:rPr>
          <w:snapToGrid w:val="0"/>
          <w:spacing w:val="-16"/>
          <w:sz w:val="18"/>
          <w:szCs w:val="18"/>
        </w:rPr>
        <w:fldChar w:fldCharType="end"/>
      </w:r>
      <w:r>
        <w:rPr>
          <w:snapToGrid w:val="0"/>
          <w:spacing w:val="-16"/>
          <w:sz w:val="18"/>
          <w:szCs w:val="18"/>
        </w:rPr>
        <w:t>=</w:t>
      </w:r>
      <w:r>
        <w:rPr>
          <w:snapToGrid w:val="0"/>
          <w:sz w:val="18"/>
          <w:szCs w:val="18"/>
        </w:rPr>
        <w:fldChar w:fldCharType="begin"/>
      </w:r>
      <w:r>
        <w:rPr>
          <w:snapToGrid w:val="0"/>
          <w:sz w:val="18"/>
          <w:szCs w:val="18"/>
        </w:rPr>
        <w:instrText xml:space="preserve"> = 1 \* GB3 \* MERGEFORMAT </w:instrText>
      </w:r>
      <w:r>
        <w:rPr>
          <w:snapToGrid w:val="0"/>
          <w:sz w:val="18"/>
          <w:szCs w:val="18"/>
        </w:rPr>
        <w:fldChar w:fldCharType="separate"/>
      </w:r>
      <w:r>
        <w:rPr>
          <w:rFonts w:hint="eastAsia"/>
          <w:sz w:val="18"/>
          <w:szCs w:val="18"/>
        </w:rPr>
        <w:t>①</w:t>
      </w:r>
      <w:r>
        <w:rPr>
          <w:snapToGrid w:val="0"/>
          <w:sz w:val="18"/>
          <w:szCs w:val="18"/>
        </w:rPr>
        <w:fldChar w:fldCharType="end"/>
      </w:r>
      <w:r>
        <w:rPr>
          <w:snapToGrid w:val="0"/>
          <w:sz w:val="18"/>
          <w:szCs w:val="18"/>
        </w:rPr>
        <w:t>+</w:t>
      </w:r>
      <w:r>
        <w:rPr>
          <w:snapToGrid w:val="0"/>
          <w:sz w:val="18"/>
          <w:szCs w:val="18"/>
        </w:rPr>
        <w:fldChar w:fldCharType="begin"/>
      </w:r>
      <w:r>
        <w:rPr>
          <w:snapToGrid w:val="0"/>
          <w:sz w:val="18"/>
          <w:szCs w:val="18"/>
        </w:rPr>
        <w:instrText xml:space="preserve"> = 3 \* GB3 \* MERGEFORMAT </w:instrText>
      </w:r>
      <w:r>
        <w:rPr>
          <w:snapToGrid w:val="0"/>
          <w:sz w:val="18"/>
          <w:szCs w:val="18"/>
        </w:rPr>
        <w:fldChar w:fldCharType="separate"/>
      </w:r>
      <w:r>
        <w:rPr>
          <w:rFonts w:hint="eastAsia"/>
          <w:sz w:val="18"/>
          <w:szCs w:val="18"/>
        </w:rPr>
        <w:t>③</w:t>
      </w:r>
      <w:r>
        <w:rPr>
          <w:snapToGrid w:val="0"/>
          <w:sz w:val="18"/>
          <w:szCs w:val="18"/>
        </w:rPr>
        <w:fldChar w:fldCharType="end"/>
      </w:r>
      <w:r>
        <w:rPr>
          <w:snapToGrid w:val="0"/>
          <w:sz w:val="18"/>
          <w:szCs w:val="18"/>
        </w:rPr>
        <w:t>+</w:t>
      </w:r>
      <w:r>
        <w:rPr>
          <w:snapToGrid w:val="0"/>
          <w:sz w:val="18"/>
          <w:szCs w:val="18"/>
        </w:rPr>
        <w:fldChar w:fldCharType="begin"/>
      </w:r>
      <w:r>
        <w:rPr>
          <w:snapToGrid w:val="0"/>
          <w:sz w:val="18"/>
          <w:szCs w:val="18"/>
        </w:rPr>
        <w:instrText xml:space="preserve"> = 4 \* GB3 \* MERGEFORMAT </w:instrText>
      </w:r>
      <w:r>
        <w:rPr>
          <w:snapToGrid w:val="0"/>
          <w:sz w:val="18"/>
          <w:szCs w:val="18"/>
        </w:rPr>
        <w:fldChar w:fldCharType="separate"/>
      </w:r>
      <w:r>
        <w:rPr>
          <w:rFonts w:hint="eastAsia"/>
          <w:sz w:val="18"/>
          <w:szCs w:val="18"/>
        </w:rPr>
        <w:t>④</w:t>
      </w:r>
      <w:r>
        <w:rPr>
          <w:snapToGrid w:val="0"/>
          <w:sz w:val="18"/>
          <w:szCs w:val="18"/>
        </w:rPr>
        <w:fldChar w:fldCharType="end"/>
      </w:r>
      <w:r>
        <w:rPr>
          <w:snapToGrid w:val="0"/>
          <w:sz w:val="18"/>
          <w:szCs w:val="18"/>
        </w:rPr>
        <w:t>-</w:t>
      </w:r>
      <w:r>
        <w:rPr>
          <w:snapToGrid w:val="0"/>
          <w:spacing w:val="-16"/>
          <w:sz w:val="18"/>
          <w:szCs w:val="18"/>
        </w:rPr>
        <w:fldChar w:fldCharType="begin"/>
      </w:r>
      <w:r>
        <w:rPr>
          <w:snapToGrid w:val="0"/>
          <w:spacing w:val="-16"/>
          <w:sz w:val="18"/>
          <w:szCs w:val="18"/>
        </w:rPr>
        <w:instrText xml:space="preserve"> = 5 \* GB3 \* MERGEFORMAT </w:instrText>
      </w:r>
      <w:r>
        <w:rPr>
          <w:snapToGrid w:val="0"/>
          <w:spacing w:val="-16"/>
          <w:sz w:val="18"/>
          <w:szCs w:val="18"/>
        </w:rPr>
        <w:fldChar w:fldCharType="separate"/>
      </w:r>
      <w:r>
        <w:rPr>
          <w:rFonts w:hint="eastAsia"/>
          <w:sz w:val="18"/>
          <w:szCs w:val="18"/>
        </w:rPr>
        <w:t>⑤</w:t>
      </w:r>
      <w:r>
        <w:rPr>
          <w:snapToGrid w:val="0"/>
          <w:spacing w:val="-16"/>
          <w:sz w:val="18"/>
          <w:szCs w:val="18"/>
        </w:rPr>
        <w:fldChar w:fldCharType="end"/>
      </w:r>
      <w:r>
        <w:rPr>
          <w:snapToGrid w:val="0"/>
          <w:spacing w:val="-16"/>
          <w:sz w:val="18"/>
          <w:szCs w:val="18"/>
        </w:rPr>
        <w:t>；</w:t>
      </w:r>
      <w:r>
        <w:rPr>
          <w:snapToGrid w:val="0"/>
          <w:sz w:val="18"/>
          <w:szCs w:val="18"/>
        </w:rPr>
        <w:fldChar w:fldCharType="begin"/>
      </w:r>
      <w:r>
        <w:rPr>
          <w:snapToGrid w:val="0"/>
          <w:sz w:val="18"/>
          <w:szCs w:val="18"/>
        </w:rPr>
        <w:instrText xml:space="preserve"> = 7 \* GB3 \* MERGEFORMAT </w:instrText>
      </w:r>
      <w:r>
        <w:rPr>
          <w:snapToGrid w:val="0"/>
          <w:sz w:val="18"/>
          <w:szCs w:val="18"/>
        </w:rPr>
        <w:fldChar w:fldCharType="separate"/>
      </w:r>
      <w:r>
        <w:rPr>
          <w:rFonts w:hint="eastAsia"/>
          <w:sz w:val="18"/>
          <w:szCs w:val="18"/>
        </w:rPr>
        <w:t>⑦</w:t>
      </w:r>
      <w:r>
        <w:rPr>
          <w:snapToGrid w:val="0"/>
          <w:sz w:val="18"/>
          <w:szCs w:val="18"/>
        </w:rPr>
        <w:fldChar w:fldCharType="end"/>
      </w:r>
      <w:r>
        <w:rPr>
          <w:snapToGrid w:val="0"/>
          <w:sz w:val="18"/>
          <w:szCs w:val="18"/>
        </w:rPr>
        <w:t>=</w:t>
      </w:r>
      <w:r>
        <w:rPr>
          <w:snapToGrid w:val="0"/>
          <w:spacing w:val="-16"/>
          <w:sz w:val="18"/>
          <w:szCs w:val="18"/>
        </w:rPr>
        <w:fldChar w:fldCharType="begin"/>
      </w:r>
      <w:r>
        <w:rPr>
          <w:snapToGrid w:val="0"/>
          <w:spacing w:val="-16"/>
          <w:sz w:val="18"/>
          <w:szCs w:val="18"/>
        </w:rPr>
        <w:instrText xml:space="preserve"> = 6 \* GB3 \* MERGEFORMAT </w:instrText>
      </w:r>
      <w:r>
        <w:rPr>
          <w:snapToGrid w:val="0"/>
          <w:spacing w:val="-16"/>
          <w:sz w:val="18"/>
          <w:szCs w:val="18"/>
        </w:rPr>
        <w:fldChar w:fldCharType="separate"/>
      </w:r>
      <w:r>
        <w:rPr>
          <w:rFonts w:hint="eastAsia"/>
          <w:sz w:val="18"/>
          <w:szCs w:val="18"/>
        </w:rPr>
        <w:t>⑥</w:t>
      </w:r>
      <w:r>
        <w:rPr>
          <w:snapToGrid w:val="0"/>
          <w:spacing w:val="-16"/>
          <w:sz w:val="18"/>
          <w:szCs w:val="18"/>
        </w:rPr>
        <w:fldChar w:fldCharType="end"/>
      </w:r>
      <w:r>
        <w:rPr>
          <w:snapToGrid w:val="0"/>
          <w:spacing w:val="-16"/>
          <w:sz w:val="18"/>
          <w:szCs w:val="18"/>
        </w:rPr>
        <w:t>-</w:t>
      </w:r>
      <w:r>
        <w:rPr>
          <w:snapToGrid w:val="0"/>
          <w:sz w:val="18"/>
          <w:szCs w:val="18"/>
        </w:rPr>
        <w:fldChar w:fldCharType="begin"/>
      </w:r>
      <w:r>
        <w:rPr>
          <w:snapToGrid w:val="0"/>
          <w:sz w:val="18"/>
          <w:szCs w:val="18"/>
        </w:rPr>
        <w:instrText xml:space="preserve"> = 1 \* GB3 \* MERGEFORMAT </w:instrText>
      </w:r>
      <w:r>
        <w:rPr>
          <w:snapToGrid w:val="0"/>
          <w:sz w:val="18"/>
          <w:szCs w:val="18"/>
        </w:rPr>
        <w:fldChar w:fldCharType="separate"/>
      </w:r>
      <w:r>
        <w:rPr>
          <w:rFonts w:hint="eastAsia"/>
          <w:sz w:val="18"/>
          <w:szCs w:val="18"/>
        </w:rPr>
        <w:t>①</w:t>
      </w:r>
      <w:r>
        <w:rPr>
          <w:snapToGrid w:val="0"/>
          <w:sz w:val="18"/>
          <w:szCs w:val="18"/>
        </w:rPr>
        <w:fldChar w:fldCharType="end"/>
      </w:r>
    </w:p>
    <w:sectPr>
      <w:pgSz w:w="16838" w:h="11906" w:orient="landscape"/>
      <w:pgMar w:top="1247" w:right="1440" w:bottom="1247" w:left="1440" w:header="851" w:footer="516" w:gutter="0"/>
      <w:pgNumType w:start="1"/>
      <w:cols w:space="425"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Impact">
    <w:panose1 w:val="020B0806030902050204"/>
    <w:charset w:val="00"/>
    <w:family w:val="swiss"/>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1"/>
      <w:jc w:val="center"/>
      <w:rPr>
        <w:b/>
      </w:rPr>
    </w:pPr>
  </w:p>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80"/>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1"/>
      <w:jc w:val="center"/>
      <w:rPr>
        <w:b/>
      </w:rPr>
    </w:pPr>
  </w:p>
  <w:p>
    <w:pPr>
      <w:pStyle w:val="2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80"/>
      <w:jc w:val="center"/>
      <w:rPr>
        <w:sz w:val="24"/>
        <w:szCs w:val="24"/>
      </w:rPr>
    </w:pPr>
    <w:r>
      <w:rPr>
        <w:sz w:val="24"/>
      </w:rP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startarrow="block" endarrow="block"/>
          <v:imagedata o:title=""/>
          <o:lock v:ext="edit"/>
          <v:textbox inset="0mm,0mm,0mm,0mm" style="mso-fit-shape-to-text:t;">
            <w:txbxContent>
              <w:p>
                <w:pPr>
                  <w:pStyle w:val="23"/>
                  <w:ind w:firstLine="480"/>
                  <w:jc w:val="center"/>
                </w:pPr>
                <w:r>
                  <w:rPr>
                    <w:rFonts w:hint="eastAsia"/>
                    <w:sz w:val="24"/>
                    <w:szCs w:val="24"/>
                  </w:rPr>
                  <w:t>-</w:t>
                </w:r>
                <w:sdt>
                  <w:sdtPr>
                    <w:rPr>
                      <w:sz w:val="24"/>
                      <w:szCs w:val="24"/>
                    </w:rPr>
                    <w:id w:val="-660848552"/>
                  </w:sdtPr>
                  <w:sdtEndPr>
                    <w:rPr>
                      <w:sz w:val="24"/>
                      <w:szCs w:val="24"/>
                    </w:rPr>
                  </w:sdtEndPr>
                  <w:sdtContent>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31</w:t>
                    </w:r>
                    <w:r>
                      <w:rPr>
                        <w:sz w:val="24"/>
                        <w:szCs w:val="24"/>
                      </w:rPr>
                      <w:fldChar w:fldCharType="end"/>
                    </w:r>
                    <w:r>
                      <w:rPr>
                        <w:rFonts w:hint="eastAsia"/>
                        <w:sz w:val="24"/>
                        <w:szCs w:val="24"/>
                      </w:rPr>
                      <w:t>-</w:t>
                    </w:r>
                  </w:sdtContent>
                </w:sdt>
              </w:p>
            </w:txbxContent>
          </v:textbox>
        </v:shape>
      </w:pict>
    </w:r>
  </w:p>
  <w:p>
    <w:pPr>
      <w:pStyle w:val="2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80"/>
      <w:jc w:val="center"/>
      <w:rPr>
        <w:sz w:val="24"/>
        <w:szCs w:val="24"/>
      </w:rPr>
    </w:pPr>
    <w:r>
      <w:rPr>
        <w:sz w:val="24"/>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startarrow="block" endarrow="block"/>
          <v:imagedata o:title=""/>
          <o:lock v:ext="edit"/>
          <v:textbox inset="0mm,0mm,0mm,0mm" style="mso-fit-shape-to-text:t;">
            <w:txbxContent>
              <w:p>
                <w:pPr>
                  <w:pStyle w:val="23"/>
                  <w:ind w:firstLine="480"/>
                  <w:jc w:val="center"/>
                </w:pPr>
                <w:r>
                  <w:rPr>
                    <w:rFonts w:hint="eastAsia"/>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30</w:t>
                </w:r>
                <w:r>
                  <w:rPr>
                    <w:sz w:val="24"/>
                    <w:szCs w:val="24"/>
                  </w:rPr>
                  <w:fldChar w:fldCharType="end"/>
                </w:r>
                <w:r>
                  <w:rPr>
                    <w:rFonts w:hint="eastAsia"/>
                    <w:sz w:val="24"/>
                    <w:szCs w:val="24"/>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adjustRightInd w:val="0"/>
      <w:spacing w:line="240" w:lineRule="auto"/>
      <w:ind w:firstLine="0" w:firstLineChars="0"/>
      <w:jc w:val="both"/>
      <w:rPr>
        <w:rFonts w:ascii="楷体" w:hAnsi="楷体" w:eastAsia="楷体"/>
        <w:b/>
        <w:sz w:val="21"/>
        <w:szCs w:val="21"/>
      </w:rPr>
    </w:pPr>
    <w:r>
      <w:rPr>
        <w:rFonts w:hint="eastAsia" w:ascii="楷体" w:hAnsi="楷体" w:eastAsia="楷体"/>
        <w:b/>
        <w:sz w:val="21"/>
        <w:szCs w:val="21"/>
      </w:rPr>
      <w:t>姚安县龙岗卫生院项目                                      环境影响报告表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adjustRightInd w:val="0"/>
      <w:spacing w:line="240" w:lineRule="auto"/>
      <w:ind w:firstLine="0" w:firstLineChars="0"/>
      <w:jc w:val="both"/>
      <w:rPr>
        <w:rFonts w:ascii="楷体" w:hAnsi="楷体" w:eastAsia="楷体"/>
        <w:b/>
        <w:sz w:val="21"/>
        <w:szCs w:val="21"/>
      </w:rPr>
    </w:pPr>
    <w:r>
      <w:rPr>
        <w:rFonts w:hint="eastAsia" w:ascii="楷体" w:hAnsi="楷体" w:eastAsia="楷体"/>
        <w:b/>
        <w:sz w:val="21"/>
        <w:szCs w:val="21"/>
      </w:rPr>
      <w:t>姚安县龙岗卫生院项目                                      环境影响报告表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29C7A8"/>
    <w:multiLevelType w:val="singleLevel"/>
    <w:tmpl w:val="CF29C7A8"/>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nforcement="0"/>
  <w:defaultTabStop w:val="420"/>
  <w:evenAndOddHeaders w:val="1"/>
  <w:drawingGridHorizontalSpacing w:val="120"/>
  <w:drawingGridVerticalSpacing w:val="163"/>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ZjYzY3MjdiMmE2Yzg2YmZhYjUxZDcyYWY5NzAzMjQifQ=="/>
    <w:docVar w:name="KSO_WPS_MARK_KEY" w:val="e827e69c-1ff2-4f0f-94dc-4f75c4d18445"/>
  </w:docVars>
  <w:rsids>
    <w:rsidRoot w:val="00245047"/>
    <w:rsid w:val="00000703"/>
    <w:rsid w:val="0000118C"/>
    <w:rsid w:val="00002DC8"/>
    <w:rsid w:val="0000432C"/>
    <w:rsid w:val="00004829"/>
    <w:rsid w:val="00005032"/>
    <w:rsid w:val="000051B2"/>
    <w:rsid w:val="00005979"/>
    <w:rsid w:val="00005C4C"/>
    <w:rsid w:val="00005DEA"/>
    <w:rsid w:val="0000630D"/>
    <w:rsid w:val="00006606"/>
    <w:rsid w:val="00006A23"/>
    <w:rsid w:val="00006D7B"/>
    <w:rsid w:val="00006F8E"/>
    <w:rsid w:val="0000729B"/>
    <w:rsid w:val="00007F33"/>
    <w:rsid w:val="00010036"/>
    <w:rsid w:val="000106F8"/>
    <w:rsid w:val="0001098D"/>
    <w:rsid w:val="00010C4F"/>
    <w:rsid w:val="000114DB"/>
    <w:rsid w:val="000115AD"/>
    <w:rsid w:val="00011664"/>
    <w:rsid w:val="00011F88"/>
    <w:rsid w:val="00011FF1"/>
    <w:rsid w:val="00012623"/>
    <w:rsid w:val="00012712"/>
    <w:rsid w:val="00012851"/>
    <w:rsid w:val="00012F20"/>
    <w:rsid w:val="00013387"/>
    <w:rsid w:val="000138EC"/>
    <w:rsid w:val="000138F5"/>
    <w:rsid w:val="00013A30"/>
    <w:rsid w:val="00015CF6"/>
    <w:rsid w:val="00015E84"/>
    <w:rsid w:val="000162F2"/>
    <w:rsid w:val="00016AAF"/>
    <w:rsid w:val="0001746C"/>
    <w:rsid w:val="00017D48"/>
    <w:rsid w:val="00020757"/>
    <w:rsid w:val="0002075D"/>
    <w:rsid w:val="000213A7"/>
    <w:rsid w:val="000213F9"/>
    <w:rsid w:val="00021784"/>
    <w:rsid w:val="00021B8A"/>
    <w:rsid w:val="0002254F"/>
    <w:rsid w:val="00022653"/>
    <w:rsid w:val="00022674"/>
    <w:rsid w:val="00022BF9"/>
    <w:rsid w:val="0002301A"/>
    <w:rsid w:val="00023F06"/>
    <w:rsid w:val="000240FE"/>
    <w:rsid w:val="000246A3"/>
    <w:rsid w:val="00025409"/>
    <w:rsid w:val="00025577"/>
    <w:rsid w:val="00025D93"/>
    <w:rsid w:val="00025DAC"/>
    <w:rsid w:val="00025F9A"/>
    <w:rsid w:val="000263EF"/>
    <w:rsid w:val="00026520"/>
    <w:rsid w:val="00026674"/>
    <w:rsid w:val="00026D3F"/>
    <w:rsid w:val="00027277"/>
    <w:rsid w:val="00027F94"/>
    <w:rsid w:val="000302C8"/>
    <w:rsid w:val="0003058A"/>
    <w:rsid w:val="00030605"/>
    <w:rsid w:val="00031443"/>
    <w:rsid w:val="0003177A"/>
    <w:rsid w:val="00031C1B"/>
    <w:rsid w:val="00031EB5"/>
    <w:rsid w:val="00032D87"/>
    <w:rsid w:val="00033036"/>
    <w:rsid w:val="00033061"/>
    <w:rsid w:val="0003342B"/>
    <w:rsid w:val="0003389A"/>
    <w:rsid w:val="00033B06"/>
    <w:rsid w:val="00033D1E"/>
    <w:rsid w:val="00033ECC"/>
    <w:rsid w:val="00034BCB"/>
    <w:rsid w:val="000352B2"/>
    <w:rsid w:val="00035CFD"/>
    <w:rsid w:val="00035DF7"/>
    <w:rsid w:val="00036CD9"/>
    <w:rsid w:val="00040CDD"/>
    <w:rsid w:val="00041432"/>
    <w:rsid w:val="0004159F"/>
    <w:rsid w:val="000415F1"/>
    <w:rsid w:val="00041822"/>
    <w:rsid w:val="00041BB5"/>
    <w:rsid w:val="000423F1"/>
    <w:rsid w:val="000426B6"/>
    <w:rsid w:val="000429C0"/>
    <w:rsid w:val="00042BEB"/>
    <w:rsid w:val="00044215"/>
    <w:rsid w:val="00044537"/>
    <w:rsid w:val="00044B9C"/>
    <w:rsid w:val="00044BB0"/>
    <w:rsid w:val="00045191"/>
    <w:rsid w:val="00045631"/>
    <w:rsid w:val="0004599A"/>
    <w:rsid w:val="00045E04"/>
    <w:rsid w:val="000475D7"/>
    <w:rsid w:val="00047900"/>
    <w:rsid w:val="00047D18"/>
    <w:rsid w:val="000504B7"/>
    <w:rsid w:val="00050554"/>
    <w:rsid w:val="00050A30"/>
    <w:rsid w:val="00050E47"/>
    <w:rsid w:val="00050F03"/>
    <w:rsid w:val="00051638"/>
    <w:rsid w:val="00051CD1"/>
    <w:rsid w:val="0005287D"/>
    <w:rsid w:val="00052DF0"/>
    <w:rsid w:val="000530DA"/>
    <w:rsid w:val="00053494"/>
    <w:rsid w:val="00053A74"/>
    <w:rsid w:val="0005402D"/>
    <w:rsid w:val="000545AC"/>
    <w:rsid w:val="00054793"/>
    <w:rsid w:val="00054937"/>
    <w:rsid w:val="00054968"/>
    <w:rsid w:val="00054BC2"/>
    <w:rsid w:val="00054D93"/>
    <w:rsid w:val="0005504B"/>
    <w:rsid w:val="000554DC"/>
    <w:rsid w:val="0005559E"/>
    <w:rsid w:val="000556BF"/>
    <w:rsid w:val="00055F95"/>
    <w:rsid w:val="00056C32"/>
    <w:rsid w:val="000572C5"/>
    <w:rsid w:val="00057AC9"/>
    <w:rsid w:val="000604D7"/>
    <w:rsid w:val="000609B9"/>
    <w:rsid w:val="00060F65"/>
    <w:rsid w:val="00061158"/>
    <w:rsid w:val="00061230"/>
    <w:rsid w:val="00061C7D"/>
    <w:rsid w:val="00061EAF"/>
    <w:rsid w:val="0006241F"/>
    <w:rsid w:val="000635B4"/>
    <w:rsid w:val="000641E6"/>
    <w:rsid w:val="00064476"/>
    <w:rsid w:val="00064751"/>
    <w:rsid w:val="00065BED"/>
    <w:rsid w:val="00065D4D"/>
    <w:rsid w:val="00065EAE"/>
    <w:rsid w:val="00066115"/>
    <w:rsid w:val="00066762"/>
    <w:rsid w:val="0006699E"/>
    <w:rsid w:val="00066C7B"/>
    <w:rsid w:val="000711F9"/>
    <w:rsid w:val="0007185B"/>
    <w:rsid w:val="00071B11"/>
    <w:rsid w:val="000725DC"/>
    <w:rsid w:val="00072881"/>
    <w:rsid w:val="00073375"/>
    <w:rsid w:val="000735BE"/>
    <w:rsid w:val="00073672"/>
    <w:rsid w:val="0007463A"/>
    <w:rsid w:val="0007469B"/>
    <w:rsid w:val="000747D8"/>
    <w:rsid w:val="00074827"/>
    <w:rsid w:val="00074A8D"/>
    <w:rsid w:val="00074B92"/>
    <w:rsid w:val="00074BA1"/>
    <w:rsid w:val="00074C92"/>
    <w:rsid w:val="000750DF"/>
    <w:rsid w:val="0007551C"/>
    <w:rsid w:val="00075785"/>
    <w:rsid w:val="000759D1"/>
    <w:rsid w:val="000765AD"/>
    <w:rsid w:val="00076835"/>
    <w:rsid w:val="00076BA5"/>
    <w:rsid w:val="0007701B"/>
    <w:rsid w:val="0007703E"/>
    <w:rsid w:val="0007793A"/>
    <w:rsid w:val="00077DCC"/>
    <w:rsid w:val="00077F3F"/>
    <w:rsid w:val="00077FE1"/>
    <w:rsid w:val="00080641"/>
    <w:rsid w:val="000806AB"/>
    <w:rsid w:val="000816B4"/>
    <w:rsid w:val="00081C8F"/>
    <w:rsid w:val="00082672"/>
    <w:rsid w:val="00083242"/>
    <w:rsid w:val="00083576"/>
    <w:rsid w:val="00083E92"/>
    <w:rsid w:val="000840DC"/>
    <w:rsid w:val="000868DF"/>
    <w:rsid w:val="00086A98"/>
    <w:rsid w:val="00087E40"/>
    <w:rsid w:val="00090511"/>
    <w:rsid w:val="00090877"/>
    <w:rsid w:val="0009128B"/>
    <w:rsid w:val="00091390"/>
    <w:rsid w:val="000915AD"/>
    <w:rsid w:val="00091BF7"/>
    <w:rsid w:val="000923B2"/>
    <w:rsid w:val="00092D5D"/>
    <w:rsid w:val="0009305E"/>
    <w:rsid w:val="000932E1"/>
    <w:rsid w:val="000933F3"/>
    <w:rsid w:val="00093586"/>
    <w:rsid w:val="00093C44"/>
    <w:rsid w:val="000944EF"/>
    <w:rsid w:val="00094A05"/>
    <w:rsid w:val="00095940"/>
    <w:rsid w:val="000959CE"/>
    <w:rsid w:val="00095A39"/>
    <w:rsid w:val="00095ABC"/>
    <w:rsid w:val="00095DA0"/>
    <w:rsid w:val="000966F6"/>
    <w:rsid w:val="00096730"/>
    <w:rsid w:val="00096B4E"/>
    <w:rsid w:val="00097886"/>
    <w:rsid w:val="00097B78"/>
    <w:rsid w:val="00097BFD"/>
    <w:rsid w:val="00097F3E"/>
    <w:rsid w:val="000A0000"/>
    <w:rsid w:val="000A09EE"/>
    <w:rsid w:val="000A0F2F"/>
    <w:rsid w:val="000A1279"/>
    <w:rsid w:val="000A1317"/>
    <w:rsid w:val="000A1EEF"/>
    <w:rsid w:val="000A2344"/>
    <w:rsid w:val="000A2AAE"/>
    <w:rsid w:val="000A2E78"/>
    <w:rsid w:val="000A376A"/>
    <w:rsid w:val="000A39D4"/>
    <w:rsid w:val="000A3AF4"/>
    <w:rsid w:val="000A519D"/>
    <w:rsid w:val="000A598D"/>
    <w:rsid w:val="000A63BF"/>
    <w:rsid w:val="000A6423"/>
    <w:rsid w:val="000A66CA"/>
    <w:rsid w:val="000A69AA"/>
    <w:rsid w:val="000A6BFC"/>
    <w:rsid w:val="000A737D"/>
    <w:rsid w:val="000A742B"/>
    <w:rsid w:val="000A74AB"/>
    <w:rsid w:val="000A76A7"/>
    <w:rsid w:val="000A7D93"/>
    <w:rsid w:val="000A7D9D"/>
    <w:rsid w:val="000A7FF0"/>
    <w:rsid w:val="000B01DC"/>
    <w:rsid w:val="000B0640"/>
    <w:rsid w:val="000B07C3"/>
    <w:rsid w:val="000B0D2D"/>
    <w:rsid w:val="000B0D58"/>
    <w:rsid w:val="000B0FE5"/>
    <w:rsid w:val="000B12A5"/>
    <w:rsid w:val="000B230D"/>
    <w:rsid w:val="000B2B29"/>
    <w:rsid w:val="000B3603"/>
    <w:rsid w:val="000B3725"/>
    <w:rsid w:val="000B40BA"/>
    <w:rsid w:val="000B42DD"/>
    <w:rsid w:val="000B4344"/>
    <w:rsid w:val="000B4830"/>
    <w:rsid w:val="000B4F99"/>
    <w:rsid w:val="000B5050"/>
    <w:rsid w:val="000B542D"/>
    <w:rsid w:val="000B545C"/>
    <w:rsid w:val="000B5C64"/>
    <w:rsid w:val="000B7D56"/>
    <w:rsid w:val="000C07EB"/>
    <w:rsid w:val="000C186F"/>
    <w:rsid w:val="000C1AD6"/>
    <w:rsid w:val="000C22A0"/>
    <w:rsid w:val="000C22AF"/>
    <w:rsid w:val="000C236B"/>
    <w:rsid w:val="000C27FE"/>
    <w:rsid w:val="000C280A"/>
    <w:rsid w:val="000C2DAA"/>
    <w:rsid w:val="000C2F38"/>
    <w:rsid w:val="000C3682"/>
    <w:rsid w:val="000C3F48"/>
    <w:rsid w:val="000C4410"/>
    <w:rsid w:val="000C4B24"/>
    <w:rsid w:val="000C61C7"/>
    <w:rsid w:val="000C695A"/>
    <w:rsid w:val="000C6B0F"/>
    <w:rsid w:val="000C6E66"/>
    <w:rsid w:val="000C707C"/>
    <w:rsid w:val="000C7CE6"/>
    <w:rsid w:val="000C7D0E"/>
    <w:rsid w:val="000D00BC"/>
    <w:rsid w:val="000D0688"/>
    <w:rsid w:val="000D0995"/>
    <w:rsid w:val="000D0BEE"/>
    <w:rsid w:val="000D13A9"/>
    <w:rsid w:val="000D149D"/>
    <w:rsid w:val="000D17ED"/>
    <w:rsid w:val="000D190B"/>
    <w:rsid w:val="000D200F"/>
    <w:rsid w:val="000D2238"/>
    <w:rsid w:val="000D26B5"/>
    <w:rsid w:val="000D2871"/>
    <w:rsid w:val="000D2B9B"/>
    <w:rsid w:val="000D2FE8"/>
    <w:rsid w:val="000D3520"/>
    <w:rsid w:val="000D3DF3"/>
    <w:rsid w:val="000D4551"/>
    <w:rsid w:val="000D45B8"/>
    <w:rsid w:val="000D496F"/>
    <w:rsid w:val="000D4F35"/>
    <w:rsid w:val="000D4F70"/>
    <w:rsid w:val="000D5018"/>
    <w:rsid w:val="000D5326"/>
    <w:rsid w:val="000D540B"/>
    <w:rsid w:val="000D578C"/>
    <w:rsid w:val="000D612C"/>
    <w:rsid w:val="000D6593"/>
    <w:rsid w:val="000D7832"/>
    <w:rsid w:val="000D7ED1"/>
    <w:rsid w:val="000E04C7"/>
    <w:rsid w:val="000E07A1"/>
    <w:rsid w:val="000E1CEC"/>
    <w:rsid w:val="000E1EA0"/>
    <w:rsid w:val="000E20DC"/>
    <w:rsid w:val="000E2148"/>
    <w:rsid w:val="000E23D6"/>
    <w:rsid w:val="000E2D2F"/>
    <w:rsid w:val="000E2EDE"/>
    <w:rsid w:val="000E334F"/>
    <w:rsid w:val="000E3665"/>
    <w:rsid w:val="000E415C"/>
    <w:rsid w:val="000E4267"/>
    <w:rsid w:val="000E6188"/>
    <w:rsid w:val="000E6255"/>
    <w:rsid w:val="000E677D"/>
    <w:rsid w:val="000E6850"/>
    <w:rsid w:val="000E6969"/>
    <w:rsid w:val="000E74AE"/>
    <w:rsid w:val="000E7600"/>
    <w:rsid w:val="000E7617"/>
    <w:rsid w:val="000E7AE2"/>
    <w:rsid w:val="000F166F"/>
    <w:rsid w:val="000F1AF6"/>
    <w:rsid w:val="000F1D8B"/>
    <w:rsid w:val="000F2073"/>
    <w:rsid w:val="000F23EB"/>
    <w:rsid w:val="000F29D9"/>
    <w:rsid w:val="000F3128"/>
    <w:rsid w:val="000F3A4A"/>
    <w:rsid w:val="000F3C2F"/>
    <w:rsid w:val="000F4B90"/>
    <w:rsid w:val="000F5528"/>
    <w:rsid w:val="000F5A87"/>
    <w:rsid w:val="000F6037"/>
    <w:rsid w:val="000F6902"/>
    <w:rsid w:val="000F7A1D"/>
    <w:rsid w:val="000F7B3D"/>
    <w:rsid w:val="000F7CEC"/>
    <w:rsid w:val="000F7F8F"/>
    <w:rsid w:val="00100250"/>
    <w:rsid w:val="001012D4"/>
    <w:rsid w:val="00101DEC"/>
    <w:rsid w:val="00101EDB"/>
    <w:rsid w:val="001021E3"/>
    <w:rsid w:val="0010260F"/>
    <w:rsid w:val="0010402E"/>
    <w:rsid w:val="00104121"/>
    <w:rsid w:val="001041B0"/>
    <w:rsid w:val="001041F3"/>
    <w:rsid w:val="001042A4"/>
    <w:rsid w:val="0010493D"/>
    <w:rsid w:val="00104DB4"/>
    <w:rsid w:val="00104DB8"/>
    <w:rsid w:val="00105210"/>
    <w:rsid w:val="00105870"/>
    <w:rsid w:val="00105A0B"/>
    <w:rsid w:val="00105BA7"/>
    <w:rsid w:val="001071E5"/>
    <w:rsid w:val="00107428"/>
    <w:rsid w:val="00107515"/>
    <w:rsid w:val="00107740"/>
    <w:rsid w:val="00107DC5"/>
    <w:rsid w:val="001104FA"/>
    <w:rsid w:val="00110B43"/>
    <w:rsid w:val="00110DC7"/>
    <w:rsid w:val="00111207"/>
    <w:rsid w:val="001118B3"/>
    <w:rsid w:val="0011252D"/>
    <w:rsid w:val="00112A15"/>
    <w:rsid w:val="00113635"/>
    <w:rsid w:val="00113AA6"/>
    <w:rsid w:val="00114757"/>
    <w:rsid w:val="00114C50"/>
    <w:rsid w:val="00114FA2"/>
    <w:rsid w:val="00115298"/>
    <w:rsid w:val="001154E6"/>
    <w:rsid w:val="00115801"/>
    <w:rsid w:val="00115CDE"/>
    <w:rsid w:val="00115FF8"/>
    <w:rsid w:val="001166B4"/>
    <w:rsid w:val="00116D49"/>
    <w:rsid w:val="00116ED1"/>
    <w:rsid w:val="00117542"/>
    <w:rsid w:val="00117D5E"/>
    <w:rsid w:val="0012036E"/>
    <w:rsid w:val="0012057C"/>
    <w:rsid w:val="00120673"/>
    <w:rsid w:val="0012084E"/>
    <w:rsid w:val="00121500"/>
    <w:rsid w:val="001215C8"/>
    <w:rsid w:val="00121AEB"/>
    <w:rsid w:val="0012209E"/>
    <w:rsid w:val="00122485"/>
    <w:rsid w:val="0012274E"/>
    <w:rsid w:val="00122D79"/>
    <w:rsid w:val="00122D9F"/>
    <w:rsid w:val="00123074"/>
    <w:rsid w:val="0012307E"/>
    <w:rsid w:val="0012357B"/>
    <w:rsid w:val="001238A9"/>
    <w:rsid w:val="00123C87"/>
    <w:rsid w:val="00123E24"/>
    <w:rsid w:val="0012478F"/>
    <w:rsid w:val="0012491F"/>
    <w:rsid w:val="00124BC3"/>
    <w:rsid w:val="00124CC9"/>
    <w:rsid w:val="0012507E"/>
    <w:rsid w:val="00125691"/>
    <w:rsid w:val="0012589E"/>
    <w:rsid w:val="00126183"/>
    <w:rsid w:val="001267EF"/>
    <w:rsid w:val="00126AE3"/>
    <w:rsid w:val="00126D68"/>
    <w:rsid w:val="001273DF"/>
    <w:rsid w:val="00127EE0"/>
    <w:rsid w:val="00130228"/>
    <w:rsid w:val="001302CC"/>
    <w:rsid w:val="00130B41"/>
    <w:rsid w:val="00130E92"/>
    <w:rsid w:val="00131010"/>
    <w:rsid w:val="001311DD"/>
    <w:rsid w:val="00131AA4"/>
    <w:rsid w:val="00131E49"/>
    <w:rsid w:val="00132238"/>
    <w:rsid w:val="001326F2"/>
    <w:rsid w:val="001331D5"/>
    <w:rsid w:val="00133267"/>
    <w:rsid w:val="00133402"/>
    <w:rsid w:val="00133477"/>
    <w:rsid w:val="00133646"/>
    <w:rsid w:val="0013367E"/>
    <w:rsid w:val="00133F13"/>
    <w:rsid w:val="00134952"/>
    <w:rsid w:val="00134A90"/>
    <w:rsid w:val="00134E95"/>
    <w:rsid w:val="0013538D"/>
    <w:rsid w:val="0013641D"/>
    <w:rsid w:val="001368E5"/>
    <w:rsid w:val="001376E7"/>
    <w:rsid w:val="001377DE"/>
    <w:rsid w:val="00137AD1"/>
    <w:rsid w:val="001417BA"/>
    <w:rsid w:val="00141A05"/>
    <w:rsid w:val="00141A23"/>
    <w:rsid w:val="001424BD"/>
    <w:rsid w:val="00142684"/>
    <w:rsid w:val="00142A27"/>
    <w:rsid w:val="0014304E"/>
    <w:rsid w:val="00143160"/>
    <w:rsid w:val="00143B4A"/>
    <w:rsid w:val="00143F5F"/>
    <w:rsid w:val="00143FCD"/>
    <w:rsid w:val="0014408C"/>
    <w:rsid w:val="001440C3"/>
    <w:rsid w:val="0014419B"/>
    <w:rsid w:val="00144638"/>
    <w:rsid w:val="00144B5D"/>
    <w:rsid w:val="001452E6"/>
    <w:rsid w:val="00145806"/>
    <w:rsid w:val="00145A32"/>
    <w:rsid w:val="00145F0A"/>
    <w:rsid w:val="00146229"/>
    <w:rsid w:val="00146977"/>
    <w:rsid w:val="00146B00"/>
    <w:rsid w:val="00146D8A"/>
    <w:rsid w:val="00147783"/>
    <w:rsid w:val="00147E6B"/>
    <w:rsid w:val="001502FB"/>
    <w:rsid w:val="001514F7"/>
    <w:rsid w:val="001519FF"/>
    <w:rsid w:val="001520D1"/>
    <w:rsid w:val="00152322"/>
    <w:rsid w:val="00153AC0"/>
    <w:rsid w:val="00153B3D"/>
    <w:rsid w:val="00154184"/>
    <w:rsid w:val="0015432F"/>
    <w:rsid w:val="001544A0"/>
    <w:rsid w:val="0015484D"/>
    <w:rsid w:val="00154E05"/>
    <w:rsid w:val="00154FA5"/>
    <w:rsid w:val="001550E6"/>
    <w:rsid w:val="00155580"/>
    <w:rsid w:val="00155B7F"/>
    <w:rsid w:val="00156CDF"/>
    <w:rsid w:val="00157164"/>
    <w:rsid w:val="001573F5"/>
    <w:rsid w:val="0015784F"/>
    <w:rsid w:val="00157A0F"/>
    <w:rsid w:val="00160441"/>
    <w:rsid w:val="00161ACF"/>
    <w:rsid w:val="00161CAF"/>
    <w:rsid w:val="00161DC5"/>
    <w:rsid w:val="001623E1"/>
    <w:rsid w:val="00162A40"/>
    <w:rsid w:val="00162A59"/>
    <w:rsid w:val="0016301E"/>
    <w:rsid w:val="0016309E"/>
    <w:rsid w:val="00163F05"/>
    <w:rsid w:val="00164B59"/>
    <w:rsid w:val="00164B64"/>
    <w:rsid w:val="00165E31"/>
    <w:rsid w:val="001663A2"/>
    <w:rsid w:val="00166A33"/>
    <w:rsid w:val="00166A3D"/>
    <w:rsid w:val="001676F2"/>
    <w:rsid w:val="00167708"/>
    <w:rsid w:val="001701CE"/>
    <w:rsid w:val="00170519"/>
    <w:rsid w:val="00172718"/>
    <w:rsid w:val="00172D52"/>
    <w:rsid w:val="00173969"/>
    <w:rsid w:val="00173ACA"/>
    <w:rsid w:val="00173ECF"/>
    <w:rsid w:val="0017416C"/>
    <w:rsid w:val="001743DA"/>
    <w:rsid w:val="00174916"/>
    <w:rsid w:val="00174BD4"/>
    <w:rsid w:val="001754CA"/>
    <w:rsid w:val="001757E8"/>
    <w:rsid w:val="00175C48"/>
    <w:rsid w:val="00175D99"/>
    <w:rsid w:val="00175EB4"/>
    <w:rsid w:val="00175F7C"/>
    <w:rsid w:val="001763A7"/>
    <w:rsid w:val="00176447"/>
    <w:rsid w:val="00176D9C"/>
    <w:rsid w:val="00176DD8"/>
    <w:rsid w:val="0017735E"/>
    <w:rsid w:val="001773D6"/>
    <w:rsid w:val="0017776B"/>
    <w:rsid w:val="00177B9B"/>
    <w:rsid w:val="00177FD9"/>
    <w:rsid w:val="00180FD7"/>
    <w:rsid w:val="00181B6B"/>
    <w:rsid w:val="00181EE8"/>
    <w:rsid w:val="001828AC"/>
    <w:rsid w:val="00183A05"/>
    <w:rsid w:val="00183F10"/>
    <w:rsid w:val="0018401F"/>
    <w:rsid w:val="0018434D"/>
    <w:rsid w:val="00184E24"/>
    <w:rsid w:val="00185072"/>
    <w:rsid w:val="00185E6F"/>
    <w:rsid w:val="00186167"/>
    <w:rsid w:val="0018661E"/>
    <w:rsid w:val="00186674"/>
    <w:rsid w:val="001868C2"/>
    <w:rsid w:val="00186A67"/>
    <w:rsid w:val="00186ACB"/>
    <w:rsid w:val="00186B7F"/>
    <w:rsid w:val="00186E09"/>
    <w:rsid w:val="0018771B"/>
    <w:rsid w:val="0018793A"/>
    <w:rsid w:val="00187CCB"/>
    <w:rsid w:val="00187CF3"/>
    <w:rsid w:val="00187FC9"/>
    <w:rsid w:val="0019041C"/>
    <w:rsid w:val="00190B1C"/>
    <w:rsid w:val="00191123"/>
    <w:rsid w:val="001914E0"/>
    <w:rsid w:val="00191BCA"/>
    <w:rsid w:val="00192D22"/>
    <w:rsid w:val="00193154"/>
    <w:rsid w:val="00193177"/>
    <w:rsid w:val="00193193"/>
    <w:rsid w:val="001943EA"/>
    <w:rsid w:val="001945D8"/>
    <w:rsid w:val="00196864"/>
    <w:rsid w:val="00196EC9"/>
    <w:rsid w:val="00196F64"/>
    <w:rsid w:val="00197165"/>
    <w:rsid w:val="00197DA9"/>
    <w:rsid w:val="00197DAA"/>
    <w:rsid w:val="00197E9E"/>
    <w:rsid w:val="001A01EC"/>
    <w:rsid w:val="001A02AF"/>
    <w:rsid w:val="001A0666"/>
    <w:rsid w:val="001A14BB"/>
    <w:rsid w:val="001A19E2"/>
    <w:rsid w:val="001A1B96"/>
    <w:rsid w:val="001A35DE"/>
    <w:rsid w:val="001A37D6"/>
    <w:rsid w:val="001A38A8"/>
    <w:rsid w:val="001A3A40"/>
    <w:rsid w:val="001A42FC"/>
    <w:rsid w:val="001A452F"/>
    <w:rsid w:val="001A59A1"/>
    <w:rsid w:val="001A63F7"/>
    <w:rsid w:val="001A646F"/>
    <w:rsid w:val="001A68D1"/>
    <w:rsid w:val="001A69BB"/>
    <w:rsid w:val="001A6E4B"/>
    <w:rsid w:val="001A76D8"/>
    <w:rsid w:val="001A777B"/>
    <w:rsid w:val="001A7AAF"/>
    <w:rsid w:val="001A7B85"/>
    <w:rsid w:val="001B066D"/>
    <w:rsid w:val="001B098A"/>
    <w:rsid w:val="001B0CDF"/>
    <w:rsid w:val="001B0D5E"/>
    <w:rsid w:val="001B0D9B"/>
    <w:rsid w:val="001B0DBC"/>
    <w:rsid w:val="001B154D"/>
    <w:rsid w:val="001B180C"/>
    <w:rsid w:val="001B1AD6"/>
    <w:rsid w:val="001B1E43"/>
    <w:rsid w:val="001B310B"/>
    <w:rsid w:val="001B3310"/>
    <w:rsid w:val="001B3347"/>
    <w:rsid w:val="001B335B"/>
    <w:rsid w:val="001B3E46"/>
    <w:rsid w:val="001B4C58"/>
    <w:rsid w:val="001B4F11"/>
    <w:rsid w:val="001B5320"/>
    <w:rsid w:val="001B543E"/>
    <w:rsid w:val="001B5C95"/>
    <w:rsid w:val="001B5E22"/>
    <w:rsid w:val="001B6AFC"/>
    <w:rsid w:val="001C0832"/>
    <w:rsid w:val="001C0DA6"/>
    <w:rsid w:val="001C0FDB"/>
    <w:rsid w:val="001C1262"/>
    <w:rsid w:val="001C190A"/>
    <w:rsid w:val="001C1E5A"/>
    <w:rsid w:val="001C214A"/>
    <w:rsid w:val="001C2794"/>
    <w:rsid w:val="001C2FCE"/>
    <w:rsid w:val="001C3690"/>
    <w:rsid w:val="001C3D7A"/>
    <w:rsid w:val="001C3D8E"/>
    <w:rsid w:val="001C421C"/>
    <w:rsid w:val="001C446C"/>
    <w:rsid w:val="001C44A0"/>
    <w:rsid w:val="001C4557"/>
    <w:rsid w:val="001C4A7E"/>
    <w:rsid w:val="001C4EC0"/>
    <w:rsid w:val="001C4FF5"/>
    <w:rsid w:val="001C56BE"/>
    <w:rsid w:val="001C596A"/>
    <w:rsid w:val="001C5BD9"/>
    <w:rsid w:val="001C5D53"/>
    <w:rsid w:val="001C5EBB"/>
    <w:rsid w:val="001C6C5A"/>
    <w:rsid w:val="001C6C78"/>
    <w:rsid w:val="001C6E80"/>
    <w:rsid w:val="001C7A2B"/>
    <w:rsid w:val="001C7A7F"/>
    <w:rsid w:val="001C7DD9"/>
    <w:rsid w:val="001C7F1D"/>
    <w:rsid w:val="001D0159"/>
    <w:rsid w:val="001D091D"/>
    <w:rsid w:val="001D0B58"/>
    <w:rsid w:val="001D0D34"/>
    <w:rsid w:val="001D0DE3"/>
    <w:rsid w:val="001D1344"/>
    <w:rsid w:val="001D1737"/>
    <w:rsid w:val="001D1908"/>
    <w:rsid w:val="001D1EB1"/>
    <w:rsid w:val="001D2709"/>
    <w:rsid w:val="001D30B8"/>
    <w:rsid w:val="001D3AFF"/>
    <w:rsid w:val="001D3FBC"/>
    <w:rsid w:val="001D4651"/>
    <w:rsid w:val="001D4B56"/>
    <w:rsid w:val="001D5068"/>
    <w:rsid w:val="001D5837"/>
    <w:rsid w:val="001D5B89"/>
    <w:rsid w:val="001D5CD7"/>
    <w:rsid w:val="001D5D6A"/>
    <w:rsid w:val="001D6E72"/>
    <w:rsid w:val="001D7CFF"/>
    <w:rsid w:val="001E0AE1"/>
    <w:rsid w:val="001E157C"/>
    <w:rsid w:val="001E215D"/>
    <w:rsid w:val="001E23E2"/>
    <w:rsid w:val="001E2B0A"/>
    <w:rsid w:val="001E2B14"/>
    <w:rsid w:val="001E2BD6"/>
    <w:rsid w:val="001E300E"/>
    <w:rsid w:val="001E33DA"/>
    <w:rsid w:val="001E340E"/>
    <w:rsid w:val="001E3FE6"/>
    <w:rsid w:val="001E4C31"/>
    <w:rsid w:val="001E5693"/>
    <w:rsid w:val="001E5939"/>
    <w:rsid w:val="001E5FA2"/>
    <w:rsid w:val="001E62AC"/>
    <w:rsid w:val="001E66D2"/>
    <w:rsid w:val="001E69D9"/>
    <w:rsid w:val="001E6C06"/>
    <w:rsid w:val="001E7774"/>
    <w:rsid w:val="001E79CB"/>
    <w:rsid w:val="001E7B4B"/>
    <w:rsid w:val="001E7E42"/>
    <w:rsid w:val="001F0905"/>
    <w:rsid w:val="001F1093"/>
    <w:rsid w:val="001F21F9"/>
    <w:rsid w:val="001F295A"/>
    <w:rsid w:val="001F2B32"/>
    <w:rsid w:val="001F2D1F"/>
    <w:rsid w:val="001F317C"/>
    <w:rsid w:val="001F3565"/>
    <w:rsid w:val="001F3702"/>
    <w:rsid w:val="001F3B3B"/>
    <w:rsid w:val="001F3E1A"/>
    <w:rsid w:val="001F3E32"/>
    <w:rsid w:val="001F4DAA"/>
    <w:rsid w:val="001F528F"/>
    <w:rsid w:val="001F54B5"/>
    <w:rsid w:val="001F5FAD"/>
    <w:rsid w:val="001F620D"/>
    <w:rsid w:val="001F6D70"/>
    <w:rsid w:val="001F71E8"/>
    <w:rsid w:val="001F71F0"/>
    <w:rsid w:val="001F7388"/>
    <w:rsid w:val="001F7D90"/>
    <w:rsid w:val="001F7E06"/>
    <w:rsid w:val="002009B8"/>
    <w:rsid w:val="002010CB"/>
    <w:rsid w:val="00201194"/>
    <w:rsid w:val="0020147C"/>
    <w:rsid w:val="00201894"/>
    <w:rsid w:val="002018DE"/>
    <w:rsid w:val="002019CF"/>
    <w:rsid w:val="00201A51"/>
    <w:rsid w:val="00201DD7"/>
    <w:rsid w:val="0020275C"/>
    <w:rsid w:val="002033CA"/>
    <w:rsid w:val="00203B7E"/>
    <w:rsid w:val="00203C35"/>
    <w:rsid w:val="00203FE2"/>
    <w:rsid w:val="002042E4"/>
    <w:rsid w:val="0020431B"/>
    <w:rsid w:val="00204564"/>
    <w:rsid w:val="002048C1"/>
    <w:rsid w:val="00204CDE"/>
    <w:rsid w:val="00205185"/>
    <w:rsid w:val="00205A63"/>
    <w:rsid w:val="00205C79"/>
    <w:rsid w:val="0020687D"/>
    <w:rsid w:val="00207168"/>
    <w:rsid w:val="00207856"/>
    <w:rsid w:val="002100C8"/>
    <w:rsid w:val="00210A51"/>
    <w:rsid w:val="00210B2B"/>
    <w:rsid w:val="00211487"/>
    <w:rsid w:val="002117F2"/>
    <w:rsid w:val="002119BB"/>
    <w:rsid w:val="00212536"/>
    <w:rsid w:val="00212868"/>
    <w:rsid w:val="00212BE6"/>
    <w:rsid w:val="002133B8"/>
    <w:rsid w:val="002138FB"/>
    <w:rsid w:val="0021395E"/>
    <w:rsid w:val="00213E57"/>
    <w:rsid w:val="00214D55"/>
    <w:rsid w:val="00215190"/>
    <w:rsid w:val="00215A5E"/>
    <w:rsid w:val="00215CEE"/>
    <w:rsid w:val="00215EB8"/>
    <w:rsid w:val="00216186"/>
    <w:rsid w:val="002171F4"/>
    <w:rsid w:val="0021725D"/>
    <w:rsid w:val="00217270"/>
    <w:rsid w:val="002173DC"/>
    <w:rsid w:val="00217B3F"/>
    <w:rsid w:val="00217BE7"/>
    <w:rsid w:val="00217E76"/>
    <w:rsid w:val="00220DE5"/>
    <w:rsid w:val="00220FB0"/>
    <w:rsid w:val="00221E37"/>
    <w:rsid w:val="00222024"/>
    <w:rsid w:val="00222117"/>
    <w:rsid w:val="00222B8C"/>
    <w:rsid w:val="00223849"/>
    <w:rsid w:val="002238CD"/>
    <w:rsid w:val="00223B68"/>
    <w:rsid w:val="00225554"/>
    <w:rsid w:val="002257BC"/>
    <w:rsid w:val="00225A3F"/>
    <w:rsid w:val="00225FA4"/>
    <w:rsid w:val="00226335"/>
    <w:rsid w:val="0022687C"/>
    <w:rsid w:val="00226B4C"/>
    <w:rsid w:val="00227E1D"/>
    <w:rsid w:val="00230792"/>
    <w:rsid w:val="00230997"/>
    <w:rsid w:val="00230AB3"/>
    <w:rsid w:val="00230B4F"/>
    <w:rsid w:val="0023173C"/>
    <w:rsid w:val="00231D2E"/>
    <w:rsid w:val="002322CF"/>
    <w:rsid w:val="00232414"/>
    <w:rsid w:val="00233E8B"/>
    <w:rsid w:val="002340C8"/>
    <w:rsid w:val="0023485A"/>
    <w:rsid w:val="00234F1E"/>
    <w:rsid w:val="00235323"/>
    <w:rsid w:val="0023551D"/>
    <w:rsid w:val="00235A05"/>
    <w:rsid w:val="00236566"/>
    <w:rsid w:val="00236579"/>
    <w:rsid w:val="002365C0"/>
    <w:rsid w:val="002366C4"/>
    <w:rsid w:val="00236CA8"/>
    <w:rsid w:val="00236D17"/>
    <w:rsid w:val="0023756F"/>
    <w:rsid w:val="00240478"/>
    <w:rsid w:val="00240592"/>
    <w:rsid w:val="00240F2C"/>
    <w:rsid w:val="002413FE"/>
    <w:rsid w:val="0024152D"/>
    <w:rsid w:val="00241D1F"/>
    <w:rsid w:val="002420B6"/>
    <w:rsid w:val="002423FB"/>
    <w:rsid w:val="00242515"/>
    <w:rsid w:val="00242809"/>
    <w:rsid w:val="00242ABE"/>
    <w:rsid w:val="00242B76"/>
    <w:rsid w:val="00242EC8"/>
    <w:rsid w:val="002433B8"/>
    <w:rsid w:val="00243A9B"/>
    <w:rsid w:val="0024481B"/>
    <w:rsid w:val="00244D99"/>
    <w:rsid w:val="00245047"/>
    <w:rsid w:val="00245220"/>
    <w:rsid w:val="0024558B"/>
    <w:rsid w:val="00245720"/>
    <w:rsid w:val="00245749"/>
    <w:rsid w:val="002459E0"/>
    <w:rsid w:val="00246560"/>
    <w:rsid w:val="002472E8"/>
    <w:rsid w:val="0024770A"/>
    <w:rsid w:val="002479EA"/>
    <w:rsid w:val="00247ED9"/>
    <w:rsid w:val="00250BA6"/>
    <w:rsid w:val="0025167A"/>
    <w:rsid w:val="00251CAA"/>
    <w:rsid w:val="002521E7"/>
    <w:rsid w:val="00252474"/>
    <w:rsid w:val="002526D0"/>
    <w:rsid w:val="00252AD6"/>
    <w:rsid w:val="00253157"/>
    <w:rsid w:val="002537FB"/>
    <w:rsid w:val="002539E2"/>
    <w:rsid w:val="00254078"/>
    <w:rsid w:val="002540D1"/>
    <w:rsid w:val="0025433A"/>
    <w:rsid w:val="00254AD6"/>
    <w:rsid w:val="00255D03"/>
    <w:rsid w:val="00255D37"/>
    <w:rsid w:val="002565C5"/>
    <w:rsid w:val="002575E3"/>
    <w:rsid w:val="002576A5"/>
    <w:rsid w:val="002578FD"/>
    <w:rsid w:val="0026031D"/>
    <w:rsid w:val="002609F9"/>
    <w:rsid w:val="00261AC1"/>
    <w:rsid w:val="00261F0F"/>
    <w:rsid w:val="00261FC0"/>
    <w:rsid w:val="002622EF"/>
    <w:rsid w:val="00262993"/>
    <w:rsid w:val="00262C8F"/>
    <w:rsid w:val="0026313B"/>
    <w:rsid w:val="00263279"/>
    <w:rsid w:val="002633F6"/>
    <w:rsid w:val="0026348D"/>
    <w:rsid w:val="00263500"/>
    <w:rsid w:val="00263741"/>
    <w:rsid w:val="002638AD"/>
    <w:rsid w:val="00263BE8"/>
    <w:rsid w:val="00263ED7"/>
    <w:rsid w:val="00264279"/>
    <w:rsid w:val="0026460A"/>
    <w:rsid w:val="00264BBE"/>
    <w:rsid w:val="00264DF9"/>
    <w:rsid w:val="002654DA"/>
    <w:rsid w:val="0026564C"/>
    <w:rsid w:val="00265816"/>
    <w:rsid w:val="002659D6"/>
    <w:rsid w:val="00265D02"/>
    <w:rsid w:val="00265E99"/>
    <w:rsid w:val="002662FB"/>
    <w:rsid w:val="00266514"/>
    <w:rsid w:val="0026656F"/>
    <w:rsid w:val="002669A4"/>
    <w:rsid w:val="00266A5E"/>
    <w:rsid w:val="002671BE"/>
    <w:rsid w:val="002674AB"/>
    <w:rsid w:val="00267519"/>
    <w:rsid w:val="00270161"/>
    <w:rsid w:val="00270430"/>
    <w:rsid w:val="002711D3"/>
    <w:rsid w:val="002716FE"/>
    <w:rsid w:val="0027194E"/>
    <w:rsid w:val="002726D8"/>
    <w:rsid w:val="00272ED3"/>
    <w:rsid w:val="002730FB"/>
    <w:rsid w:val="0027329D"/>
    <w:rsid w:val="002734AA"/>
    <w:rsid w:val="002734F8"/>
    <w:rsid w:val="00275399"/>
    <w:rsid w:val="002762FB"/>
    <w:rsid w:val="00276312"/>
    <w:rsid w:val="00276EAF"/>
    <w:rsid w:val="002775EF"/>
    <w:rsid w:val="002777DF"/>
    <w:rsid w:val="00280563"/>
    <w:rsid w:val="002805F8"/>
    <w:rsid w:val="002805FB"/>
    <w:rsid w:val="0028087B"/>
    <w:rsid w:val="002813D6"/>
    <w:rsid w:val="00281569"/>
    <w:rsid w:val="00282D89"/>
    <w:rsid w:val="00282E26"/>
    <w:rsid w:val="00283661"/>
    <w:rsid w:val="00283726"/>
    <w:rsid w:val="0028399D"/>
    <w:rsid w:val="00283B4C"/>
    <w:rsid w:val="00283DFB"/>
    <w:rsid w:val="00283F8D"/>
    <w:rsid w:val="00284510"/>
    <w:rsid w:val="00284B51"/>
    <w:rsid w:val="00284E7A"/>
    <w:rsid w:val="00284F42"/>
    <w:rsid w:val="00284FD8"/>
    <w:rsid w:val="00285456"/>
    <w:rsid w:val="002856CF"/>
    <w:rsid w:val="002860F1"/>
    <w:rsid w:val="00286AAA"/>
    <w:rsid w:val="002877B3"/>
    <w:rsid w:val="00287D9B"/>
    <w:rsid w:val="00290732"/>
    <w:rsid w:val="0029126A"/>
    <w:rsid w:val="00291306"/>
    <w:rsid w:val="00291502"/>
    <w:rsid w:val="0029169C"/>
    <w:rsid w:val="00291A0F"/>
    <w:rsid w:val="00291E22"/>
    <w:rsid w:val="0029249A"/>
    <w:rsid w:val="0029253A"/>
    <w:rsid w:val="00292D5A"/>
    <w:rsid w:val="0029407E"/>
    <w:rsid w:val="0029471E"/>
    <w:rsid w:val="0029483C"/>
    <w:rsid w:val="00294DE9"/>
    <w:rsid w:val="00294F0D"/>
    <w:rsid w:val="002952DB"/>
    <w:rsid w:val="00295613"/>
    <w:rsid w:val="002957E4"/>
    <w:rsid w:val="00297058"/>
    <w:rsid w:val="0029743C"/>
    <w:rsid w:val="00297472"/>
    <w:rsid w:val="002979BF"/>
    <w:rsid w:val="00297C37"/>
    <w:rsid w:val="002A051A"/>
    <w:rsid w:val="002A0D29"/>
    <w:rsid w:val="002A1308"/>
    <w:rsid w:val="002A174F"/>
    <w:rsid w:val="002A189D"/>
    <w:rsid w:val="002A1FF9"/>
    <w:rsid w:val="002A2314"/>
    <w:rsid w:val="002A23BA"/>
    <w:rsid w:val="002A3CCD"/>
    <w:rsid w:val="002A461C"/>
    <w:rsid w:val="002A4710"/>
    <w:rsid w:val="002A471A"/>
    <w:rsid w:val="002A47BC"/>
    <w:rsid w:val="002A47F5"/>
    <w:rsid w:val="002A4840"/>
    <w:rsid w:val="002A4B74"/>
    <w:rsid w:val="002A5A34"/>
    <w:rsid w:val="002A5E4B"/>
    <w:rsid w:val="002A6860"/>
    <w:rsid w:val="002A68E4"/>
    <w:rsid w:val="002A6BB1"/>
    <w:rsid w:val="002A70FE"/>
    <w:rsid w:val="002A7D3D"/>
    <w:rsid w:val="002B0270"/>
    <w:rsid w:val="002B06E0"/>
    <w:rsid w:val="002B0B88"/>
    <w:rsid w:val="002B1106"/>
    <w:rsid w:val="002B187B"/>
    <w:rsid w:val="002B1C8C"/>
    <w:rsid w:val="002B2A9C"/>
    <w:rsid w:val="002B2BB5"/>
    <w:rsid w:val="002B2C87"/>
    <w:rsid w:val="002B2EC0"/>
    <w:rsid w:val="002B3573"/>
    <w:rsid w:val="002B3593"/>
    <w:rsid w:val="002B373C"/>
    <w:rsid w:val="002B445F"/>
    <w:rsid w:val="002B4B74"/>
    <w:rsid w:val="002B5DE7"/>
    <w:rsid w:val="002B62C8"/>
    <w:rsid w:val="002B62D7"/>
    <w:rsid w:val="002B6DDE"/>
    <w:rsid w:val="002B76E0"/>
    <w:rsid w:val="002B7869"/>
    <w:rsid w:val="002B7C47"/>
    <w:rsid w:val="002C002B"/>
    <w:rsid w:val="002C00DB"/>
    <w:rsid w:val="002C0491"/>
    <w:rsid w:val="002C1374"/>
    <w:rsid w:val="002C160B"/>
    <w:rsid w:val="002C2B1B"/>
    <w:rsid w:val="002C2EE4"/>
    <w:rsid w:val="002C37C8"/>
    <w:rsid w:val="002C39DC"/>
    <w:rsid w:val="002C4655"/>
    <w:rsid w:val="002C46E0"/>
    <w:rsid w:val="002C534D"/>
    <w:rsid w:val="002C5CDE"/>
    <w:rsid w:val="002C5E9C"/>
    <w:rsid w:val="002C654E"/>
    <w:rsid w:val="002C65B0"/>
    <w:rsid w:val="002C677C"/>
    <w:rsid w:val="002C69C4"/>
    <w:rsid w:val="002C6ABA"/>
    <w:rsid w:val="002C6D7F"/>
    <w:rsid w:val="002C7554"/>
    <w:rsid w:val="002D03A8"/>
    <w:rsid w:val="002D1105"/>
    <w:rsid w:val="002D12C7"/>
    <w:rsid w:val="002D1BAC"/>
    <w:rsid w:val="002D1BB5"/>
    <w:rsid w:val="002D2431"/>
    <w:rsid w:val="002D25EB"/>
    <w:rsid w:val="002D2F66"/>
    <w:rsid w:val="002D31E9"/>
    <w:rsid w:val="002D3C6F"/>
    <w:rsid w:val="002D3DDC"/>
    <w:rsid w:val="002D4293"/>
    <w:rsid w:val="002D43BE"/>
    <w:rsid w:val="002D45BD"/>
    <w:rsid w:val="002D4E52"/>
    <w:rsid w:val="002D50D3"/>
    <w:rsid w:val="002D5C08"/>
    <w:rsid w:val="002D5CBD"/>
    <w:rsid w:val="002D5EC6"/>
    <w:rsid w:val="002D6400"/>
    <w:rsid w:val="002D6626"/>
    <w:rsid w:val="002D73C7"/>
    <w:rsid w:val="002D7DB5"/>
    <w:rsid w:val="002E0171"/>
    <w:rsid w:val="002E0432"/>
    <w:rsid w:val="002E0530"/>
    <w:rsid w:val="002E1411"/>
    <w:rsid w:val="002E29AF"/>
    <w:rsid w:val="002E320F"/>
    <w:rsid w:val="002E34BE"/>
    <w:rsid w:val="002E3E65"/>
    <w:rsid w:val="002E3F82"/>
    <w:rsid w:val="002E43B7"/>
    <w:rsid w:val="002E4C5E"/>
    <w:rsid w:val="002E5F28"/>
    <w:rsid w:val="002E6204"/>
    <w:rsid w:val="002E7064"/>
    <w:rsid w:val="002E710A"/>
    <w:rsid w:val="002E7884"/>
    <w:rsid w:val="002F0BEE"/>
    <w:rsid w:val="002F1565"/>
    <w:rsid w:val="002F1CC4"/>
    <w:rsid w:val="002F1E6C"/>
    <w:rsid w:val="002F1EE1"/>
    <w:rsid w:val="002F23B0"/>
    <w:rsid w:val="002F24DF"/>
    <w:rsid w:val="002F3776"/>
    <w:rsid w:val="002F3E9A"/>
    <w:rsid w:val="002F42E0"/>
    <w:rsid w:val="002F483E"/>
    <w:rsid w:val="002F4A18"/>
    <w:rsid w:val="002F4AAB"/>
    <w:rsid w:val="002F5D8D"/>
    <w:rsid w:val="002F6544"/>
    <w:rsid w:val="002F662A"/>
    <w:rsid w:val="002F67BE"/>
    <w:rsid w:val="002F68EF"/>
    <w:rsid w:val="002F6BD5"/>
    <w:rsid w:val="002F7413"/>
    <w:rsid w:val="0030050F"/>
    <w:rsid w:val="00301A3A"/>
    <w:rsid w:val="00301EBA"/>
    <w:rsid w:val="00302B13"/>
    <w:rsid w:val="00303C7B"/>
    <w:rsid w:val="00303D66"/>
    <w:rsid w:val="00303F44"/>
    <w:rsid w:val="00304969"/>
    <w:rsid w:val="00304C7D"/>
    <w:rsid w:val="00305250"/>
    <w:rsid w:val="0030551C"/>
    <w:rsid w:val="00305C71"/>
    <w:rsid w:val="00306385"/>
    <w:rsid w:val="00306430"/>
    <w:rsid w:val="0030649A"/>
    <w:rsid w:val="00306F30"/>
    <w:rsid w:val="003103D6"/>
    <w:rsid w:val="00310811"/>
    <w:rsid w:val="003110F0"/>
    <w:rsid w:val="00311525"/>
    <w:rsid w:val="003117A5"/>
    <w:rsid w:val="0031193E"/>
    <w:rsid w:val="00311B7E"/>
    <w:rsid w:val="00311DF7"/>
    <w:rsid w:val="003126E2"/>
    <w:rsid w:val="00312839"/>
    <w:rsid w:val="00312978"/>
    <w:rsid w:val="003133CD"/>
    <w:rsid w:val="00313588"/>
    <w:rsid w:val="003135AB"/>
    <w:rsid w:val="00313C4F"/>
    <w:rsid w:val="00313D3B"/>
    <w:rsid w:val="003143A1"/>
    <w:rsid w:val="003144A6"/>
    <w:rsid w:val="003147DB"/>
    <w:rsid w:val="00314C3C"/>
    <w:rsid w:val="00314C96"/>
    <w:rsid w:val="00314DC3"/>
    <w:rsid w:val="00314FFF"/>
    <w:rsid w:val="00315051"/>
    <w:rsid w:val="0031542B"/>
    <w:rsid w:val="00315862"/>
    <w:rsid w:val="0031718A"/>
    <w:rsid w:val="00317632"/>
    <w:rsid w:val="0031774A"/>
    <w:rsid w:val="003178C7"/>
    <w:rsid w:val="00317A4D"/>
    <w:rsid w:val="00320808"/>
    <w:rsid w:val="00320993"/>
    <w:rsid w:val="00320D89"/>
    <w:rsid w:val="0032144B"/>
    <w:rsid w:val="003215A3"/>
    <w:rsid w:val="003215AA"/>
    <w:rsid w:val="00321E56"/>
    <w:rsid w:val="00322700"/>
    <w:rsid w:val="003228F8"/>
    <w:rsid w:val="00322BB4"/>
    <w:rsid w:val="00322D44"/>
    <w:rsid w:val="00322D45"/>
    <w:rsid w:val="00322F3E"/>
    <w:rsid w:val="00323AC1"/>
    <w:rsid w:val="00324537"/>
    <w:rsid w:val="00324609"/>
    <w:rsid w:val="00324F52"/>
    <w:rsid w:val="00325544"/>
    <w:rsid w:val="00325729"/>
    <w:rsid w:val="00325931"/>
    <w:rsid w:val="00325C01"/>
    <w:rsid w:val="00326080"/>
    <w:rsid w:val="00326088"/>
    <w:rsid w:val="0032700A"/>
    <w:rsid w:val="00327BAD"/>
    <w:rsid w:val="00327E64"/>
    <w:rsid w:val="003302A6"/>
    <w:rsid w:val="00330417"/>
    <w:rsid w:val="003308E3"/>
    <w:rsid w:val="00330DA7"/>
    <w:rsid w:val="0033103B"/>
    <w:rsid w:val="0033247B"/>
    <w:rsid w:val="003328F7"/>
    <w:rsid w:val="003332A4"/>
    <w:rsid w:val="00333912"/>
    <w:rsid w:val="00333D77"/>
    <w:rsid w:val="00334036"/>
    <w:rsid w:val="00334B41"/>
    <w:rsid w:val="00334B6F"/>
    <w:rsid w:val="00334C41"/>
    <w:rsid w:val="003350E6"/>
    <w:rsid w:val="003358B9"/>
    <w:rsid w:val="00335C9E"/>
    <w:rsid w:val="003361B5"/>
    <w:rsid w:val="00336335"/>
    <w:rsid w:val="00336787"/>
    <w:rsid w:val="00336C95"/>
    <w:rsid w:val="003375AD"/>
    <w:rsid w:val="0033787E"/>
    <w:rsid w:val="003378C6"/>
    <w:rsid w:val="00337A38"/>
    <w:rsid w:val="00337DDA"/>
    <w:rsid w:val="003407B2"/>
    <w:rsid w:val="00340C21"/>
    <w:rsid w:val="00341F6C"/>
    <w:rsid w:val="0034233F"/>
    <w:rsid w:val="003428CC"/>
    <w:rsid w:val="0034324D"/>
    <w:rsid w:val="0034410F"/>
    <w:rsid w:val="003447F4"/>
    <w:rsid w:val="00344CB1"/>
    <w:rsid w:val="00344E7A"/>
    <w:rsid w:val="003452C1"/>
    <w:rsid w:val="0034545F"/>
    <w:rsid w:val="0034552F"/>
    <w:rsid w:val="00345785"/>
    <w:rsid w:val="00346176"/>
    <w:rsid w:val="0034632F"/>
    <w:rsid w:val="003468DB"/>
    <w:rsid w:val="00346A6D"/>
    <w:rsid w:val="00347344"/>
    <w:rsid w:val="00347B3B"/>
    <w:rsid w:val="00347BC2"/>
    <w:rsid w:val="00347F83"/>
    <w:rsid w:val="00350234"/>
    <w:rsid w:val="003502A3"/>
    <w:rsid w:val="0035072C"/>
    <w:rsid w:val="00350DB1"/>
    <w:rsid w:val="0035176B"/>
    <w:rsid w:val="00351C2E"/>
    <w:rsid w:val="0035214E"/>
    <w:rsid w:val="0035274D"/>
    <w:rsid w:val="00352C19"/>
    <w:rsid w:val="00352CBB"/>
    <w:rsid w:val="00352F38"/>
    <w:rsid w:val="003533AE"/>
    <w:rsid w:val="00353401"/>
    <w:rsid w:val="003540DD"/>
    <w:rsid w:val="003541B9"/>
    <w:rsid w:val="003548A6"/>
    <w:rsid w:val="00355910"/>
    <w:rsid w:val="00355C84"/>
    <w:rsid w:val="003565DE"/>
    <w:rsid w:val="00356808"/>
    <w:rsid w:val="00356A6B"/>
    <w:rsid w:val="00356DC6"/>
    <w:rsid w:val="0035706F"/>
    <w:rsid w:val="0035750F"/>
    <w:rsid w:val="003601C0"/>
    <w:rsid w:val="00360D89"/>
    <w:rsid w:val="00360DE9"/>
    <w:rsid w:val="00361237"/>
    <w:rsid w:val="00361456"/>
    <w:rsid w:val="00361956"/>
    <w:rsid w:val="00361D76"/>
    <w:rsid w:val="0036262A"/>
    <w:rsid w:val="00362972"/>
    <w:rsid w:val="0036298D"/>
    <w:rsid w:val="00362B6B"/>
    <w:rsid w:val="0036344F"/>
    <w:rsid w:val="003635B5"/>
    <w:rsid w:val="00363FCA"/>
    <w:rsid w:val="00364653"/>
    <w:rsid w:val="00364821"/>
    <w:rsid w:val="003649B4"/>
    <w:rsid w:val="00365313"/>
    <w:rsid w:val="003658C5"/>
    <w:rsid w:val="0036590F"/>
    <w:rsid w:val="0036689C"/>
    <w:rsid w:val="00366F93"/>
    <w:rsid w:val="00367CFA"/>
    <w:rsid w:val="00367E5C"/>
    <w:rsid w:val="00370278"/>
    <w:rsid w:val="00370620"/>
    <w:rsid w:val="0037132B"/>
    <w:rsid w:val="00372EF4"/>
    <w:rsid w:val="00373A3E"/>
    <w:rsid w:val="00373F0F"/>
    <w:rsid w:val="0037438E"/>
    <w:rsid w:val="0037461E"/>
    <w:rsid w:val="00374733"/>
    <w:rsid w:val="003747E0"/>
    <w:rsid w:val="003755E8"/>
    <w:rsid w:val="0037573E"/>
    <w:rsid w:val="00375955"/>
    <w:rsid w:val="00375A81"/>
    <w:rsid w:val="003760C8"/>
    <w:rsid w:val="00376660"/>
    <w:rsid w:val="003766E6"/>
    <w:rsid w:val="00376C28"/>
    <w:rsid w:val="00377B41"/>
    <w:rsid w:val="00377B64"/>
    <w:rsid w:val="00380296"/>
    <w:rsid w:val="00380962"/>
    <w:rsid w:val="00380C0E"/>
    <w:rsid w:val="003813A7"/>
    <w:rsid w:val="0038141C"/>
    <w:rsid w:val="0038141F"/>
    <w:rsid w:val="003814E1"/>
    <w:rsid w:val="00381536"/>
    <w:rsid w:val="0038165D"/>
    <w:rsid w:val="00381A3B"/>
    <w:rsid w:val="00382360"/>
    <w:rsid w:val="003824E0"/>
    <w:rsid w:val="00382A7A"/>
    <w:rsid w:val="003832C8"/>
    <w:rsid w:val="003834B3"/>
    <w:rsid w:val="00384200"/>
    <w:rsid w:val="00384324"/>
    <w:rsid w:val="0038452B"/>
    <w:rsid w:val="00385754"/>
    <w:rsid w:val="003857D2"/>
    <w:rsid w:val="003859C1"/>
    <w:rsid w:val="00385AC8"/>
    <w:rsid w:val="00386203"/>
    <w:rsid w:val="00387059"/>
    <w:rsid w:val="00387BB4"/>
    <w:rsid w:val="00387E08"/>
    <w:rsid w:val="003900AA"/>
    <w:rsid w:val="00390471"/>
    <w:rsid w:val="00390617"/>
    <w:rsid w:val="0039107A"/>
    <w:rsid w:val="00391DF5"/>
    <w:rsid w:val="00391F60"/>
    <w:rsid w:val="00392916"/>
    <w:rsid w:val="00392BC7"/>
    <w:rsid w:val="00392BDF"/>
    <w:rsid w:val="00392D45"/>
    <w:rsid w:val="00392E7E"/>
    <w:rsid w:val="00392FDB"/>
    <w:rsid w:val="0039384C"/>
    <w:rsid w:val="00393A51"/>
    <w:rsid w:val="00393DD1"/>
    <w:rsid w:val="00393FBF"/>
    <w:rsid w:val="003942E6"/>
    <w:rsid w:val="003948B2"/>
    <w:rsid w:val="00395083"/>
    <w:rsid w:val="003950C8"/>
    <w:rsid w:val="00395608"/>
    <w:rsid w:val="00395989"/>
    <w:rsid w:val="00396388"/>
    <w:rsid w:val="003968CE"/>
    <w:rsid w:val="00397ABD"/>
    <w:rsid w:val="003A09A0"/>
    <w:rsid w:val="003A0CB4"/>
    <w:rsid w:val="003A0D03"/>
    <w:rsid w:val="003A15F5"/>
    <w:rsid w:val="003A1D2C"/>
    <w:rsid w:val="003A2896"/>
    <w:rsid w:val="003A39EB"/>
    <w:rsid w:val="003A417B"/>
    <w:rsid w:val="003A43AF"/>
    <w:rsid w:val="003A4573"/>
    <w:rsid w:val="003A45C8"/>
    <w:rsid w:val="003A4949"/>
    <w:rsid w:val="003A4C0F"/>
    <w:rsid w:val="003A5224"/>
    <w:rsid w:val="003A5261"/>
    <w:rsid w:val="003A530A"/>
    <w:rsid w:val="003A532F"/>
    <w:rsid w:val="003A551A"/>
    <w:rsid w:val="003A5F92"/>
    <w:rsid w:val="003A6527"/>
    <w:rsid w:val="003A692E"/>
    <w:rsid w:val="003A6A68"/>
    <w:rsid w:val="003A7383"/>
    <w:rsid w:val="003A775E"/>
    <w:rsid w:val="003B04E5"/>
    <w:rsid w:val="003B0D38"/>
    <w:rsid w:val="003B1118"/>
    <w:rsid w:val="003B1347"/>
    <w:rsid w:val="003B13FA"/>
    <w:rsid w:val="003B19A8"/>
    <w:rsid w:val="003B1C7E"/>
    <w:rsid w:val="003B21D8"/>
    <w:rsid w:val="003B253C"/>
    <w:rsid w:val="003B30EB"/>
    <w:rsid w:val="003B31CE"/>
    <w:rsid w:val="003B3893"/>
    <w:rsid w:val="003B3C95"/>
    <w:rsid w:val="003B4355"/>
    <w:rsid w:val="003B48DB"/>
    <w:rsid w:val="003B5030"/>
    <w:rsid w:val="003B574F"/>
    <w:rsid w:val="003B5D2D"/>
    <w:rsid w:val="003B5E4F"/>
    <w:rsid w:val="003B6387"/>
    <w:rsid w:val="003B6632"/>
    <w:rsid w:val="003B6ADD"/>
    <w:rsid w:val="003B6EEA"/>
    <w:rsid w:val="003B7024"/>
    <w:rsid w:val="003B79BA"/>
    <w:rsid w:val="003B7B31"/>
    <w:rsid w:val="003B7F3F"/>
    <w:rsid w:val="003C0320"/>
    <w:rsid w:val="003C04B3"/>
    <w:rsid w:val="003C0570"/>
    <w:rsid w:val="003C05E4"/>
    <w:rsid w:val="003C0889"/>
    <w:rsid w:val="003C08D3"/>
    <w:rsid w:val="003C1615"/>
    <w:rsid w:val="003C197B"/>
    <w:rsid w:val="003C28BD"/>
    <w:rsid w:val="003C2995"/>
    <w:rsid w:val="003C3860"/>
    <w:rsid w:val="003C397E"/>
    <w:rsid w:val="003C3C52"/>
    <w:rsid w:val="003C531B"/>
    <w:rsid w:val="003C5A68"/>
    <w:rsid w:val="003C5C84"/>
    <w:rsid w:val="003C6364"/>
    <w:rsid w:val="003C6433"/>
    <w:rsid w:val="003C682C"/>
    <w:rsid w:val="003C68AC"/>
    <w:rsid w:val="003C6F77"/>
    <w:rsid w:val="003C709F"/>
    <w:rsid w:val="003C771E"/>
    <w:rsid w:val="003C7A76"/>
    <w:rsid w:val="003C7C79"/>
    <w:rsid w:val="003D037F"/>
    <w:rsid w:val="003D0ABD"/>
    <w:rsid w:val="003D0C92"/>
    <w:rsid w:val="003D0FB2"/>
    <w:rsid w:val="003D185E"/>
    <w:rsid w:val="003D1F94"/>
    <w:rsid w:val="003D274C"/>
    <w:rsid w:val="003D2A9D"/>
    <w:rsid w:val="003D312E"/>
    <w:rsid w:val="003D3A52"/>
    <w:rsid w:val="003D3CEB"/>
    <w:rsid w:val="003D3E16"/>
    <w:rsid w:val="003D41F1"/>
    <w:rsid w:val="003D4AB1"/>
    <w:rsid w:val="003D5DBF"/>
    <w:rsid w:val="003D629E"/>
    <w:rsid w:val="003D67CA"/>
    <w:rsid w:val="003D6CE5"/>
    <w:rsid w:val="003D6D0D"/>
    <w:rsid w:val="003D73D3"/>
    <w:rsid w:val="003D765F"/>
    <w:rsid w:val="003D7AEA"/>
    <w:rsid w:val="003D7CB2"/>
    <w:rsid w:val="003E050C"/>
    <w:rsid w:val="003E081B"/>
    <w:rsid w:val="003E10FD"/>
    <w:rsid w:val="003E11BE"/>
    <w:rsid w:val="003E2FC8"/>
    <w:rsid w:val="003E316B"/>
    <w:rsid w:val="003E387B"/>
    <w:rsid w:val="003E4454"/>
    <w:rsid w:val="003E4578"/>
    <w:rsid w:val="003E57BD"/>
    <w:rsid w:val="003E643C"/>
    <w:rsid w:val="003E645A"/>
    <w:rsid w:val="003E693C"/>
    <w:rsid w:val="003E6A44"/>
    <w:rsid w:val="003E6B7F"/>
    <w:rsid w:val="003E6CB9"/>
    <w:rsid w:val="003E6F64"/>
    <w:rsid w:val="003E70F6"/>
    <w:rsid w:val="003F048C"/>
    <w:rsid w:val="003F0717"/>
    <w:rsid w:val="003F0767"/>
    <w:rsid w:val="003F0780"/>
    <w:rsid w:val="003F08B9"/>
    <w:rsid w:val="003F1008"/>
    <w:rsid w:val="003F196C"/>
    <w:rsid w:val="003F19EE"/>
    <w:rsid w:val="003F20C9"/>
    <w:rsid w:val="003F2512"/>
    <w:rsid w:val="003F25AA"/>
    <w:rsid w:val="003F2D9A"/>
    <w:rsid w:val="003F2FAE"/>
    <w:rsid w:val="003F315E"/>
    <w:rsid w:val="003F332F"/>
    <w:rsid w:val="003F359E"/>
    <w:rsid w:val="003F436F"/>
    <w:rsid w:val="003F56B7"/>
    <w:rsid w:val="003F5A03"/>
    <w:rsid w:val="003F6268"/>
    <w:rsid w:val="003F6E94"/>
    <w:rsid w:val="003F708B"/>
    <w:rsid w:val="003F76D4"/>
    <w:rsid w:val="00400304"/>
    <w:rsid w:val="004013C5"/>
    <w:rsid w:val="00401E3E"/>
    <w:rsid w:val="00401F37"/>
    <w:rsid w:val="00402200"/>
    <w:rsid w:val="00402607"/>
    <w:rsid w:val="00402753"/>
    <w:rsid w:val="004029DA"/>
    <w:rsid w:val="00402A06"/>
    <w:rsid w:val="00402E9C"/>
    <w:rsid w:val="00403369"/>
    <w:rsid w:val="004033D7"/>
    <w:rsid w:val="0040361B"/>
    <w:rsid w:val="00403B46"/>
    <w:rsid w:val="00403B87"/>
    <w:rsid w:val="004042E5"/>
    <w:rsid w:val="00404B20"/>
    <w:rsid w:val="00404B5C"/>
    <w:rsid w:val="00404BE8"/>
    <w:rsid w:val="00405294"/>
    <w:rsid w:val="004053F5"/>
    <w:rsid w:val="0040585B"/>
    <w:rsid w:val="00405C3F"/>
    <w:rsid w:val="0040617F"/>
    <w:rsid w:val="004065FF"/>
    <w:rsid w:val="0040676B"/>
    <w:rsid w:val="0040676D"/>
    <w:rsid w:val="00406AB4"/>
    <w:rsid w:val="00406CAC"/>
    <w:rsid w:val="00407836"/>
    <w:rsid w:val="00410CAF"/>
    <w:rsid w:val="004119C4"/>
    <w:rsid w:val="00411AF5"/>
    <w:rsid w:val="00411C47"/>
    <w:rsid w:val="00411F39"/>
    <w:rsid w:val="00412442"/>
    <w:rsid w:val="00412973"/>
    <w:rsid w:val="00412D27"/>
    <w:rsid w:val="00412DB3"/>
    <w:rsid w:val="004135ED"/>
    <w:rsid w:val="00413EBB"/>
    <w:rsid w:val="00414A3B"/>
    <w:rsid w:val="00414F14"/>
    <w:rsid w:val="0041502F"/>
    <w:rsid w:val="0041582E"/>
    <w:rsid w:val="00416010"/>
    <w:rsid w:val="004162A8"/>
    <w:rsid w:val="0041684D"/>
    <w:rsid w:val="00416C74"/>
    <w:rsid w:val="00416E2D"/>
    <w:rsid w:val="00417180"/>
    <w:rsid w:val="00417440"/>
    <w:rsid w:val="00417562"/>
    <w:rsid w:val="004177E2"/>
    <w:rsid w:val="004201BA"/>
    <w:rsid w:val="00420B95"/>
    <w:rsid w:val="00421406"/>
    <w:rsid w:val="00421A8F"/>
    <w:rsid w:val="00422055"/>
    <w:rsid w:val="00422695"/>
    <w:rsid w:val="00422B12"/>
    <w:rsid w:val="00422F4B"/>
    <w:rsid w:val="004230DA"/>
    <w:rsid w:val="0042333E"/>
    <w:rsid w:val="004237B5"/>
    <w:rsid w:val="00424477"/>
    <w:rsid w:val="00424AB3"/>
    <w:rsid w:val="00424BEC"/>
    <w:rsid w:val="00424CEF"/>
    <w:rsid w:val="00425013"/>
    <w:rsid w:val="004250D8"/>
    <w:rsid w:val="004259BC"/>
    <w:rsid w:val="00425ED1"/>
    <w:rsid w:val="00425F77"/>
    <w:rsid w:val="00426359"/>
    <w:rsid w:val="00426B47"/>
    <w:rsid w:val="00427878"/>
    <w:rsid w:val="00427CD1"/>
    <w:rsid w:val="00430092"/>
    <w:rsid w:val="00430170"/>
    <w:rsid w:val="00430171"/>
    <w:rsid w:val="004302AD"/>
    <w:rsid w:val="004308B4"/>
    <w:rsid w:val="004308BA"/>
    <w:rsid w:val="00430B83"/>
    <w:rsid w:val="004316C8"/>
    <w:rsid w:val="004318EF"/>
    <w:rsid w:val="0043197D"/>
    <w:rsid w:val="00431A2B"/>
    <w:rsid w:val="00432285"/>
    <w:rsid w:val="00432A7A"/>
    <w:rsid w:val="00432D98"/>
    <w:rsid w:val="00433045"/>
    <w:rsid w:val="0043452E"/>
    <w:rsid w:val="0043479D"/>
    <w:rsid w:val="0043481C"/>
    <w:rsid w:val="00434E02"/>
    <w:rsid w:val="00436869"/>
    <w:rsid w:val="00436D07"/>
    <w:rsid w:val="0043778F"/>
    <w:rsid w:val="00437CE5"/>
    <w:rsid w:val="004400EC"/>
    <w:rsid w:val="004405CE"/>
    <w:rsid w:val="004406C5"/>
    <w:rsid w:val="004408E2"/>
    <w:rsid w:val="00440D9F"/>
    <w:rsid w:val="00442314"/>
    <w:rsid w:val="00442438"/>
    <w:rsid w:val="00442A38"/>
    <w:rsid w:val="00442B15"/>
    <w:rsid w:val="00442FA2"/>
    <w:rsid w:val="004434E5"/>
    <w:rsid w:val="00443592"/>
    <w:rsid w:val="0044447E"/>
    <w:rsid w:val="00444A84"/>
    <w:rsid w:val="00444E28"/>
    <w:rsid w:val="004451B3"/>
    <w:rsid w:val="00445A08"/>
    <w:rsid w:val="00445A50"/>
    <w:rsid w:val="00445CEC"/>
    <w:rsid w:val="00445DA4"/>
    <w:rsid w:val="00445DBF"/>
    <w:rsid w:val="00446219"/>
    <w:rsid w:val="0044661D"/>
    <w:rsid w:val="00446B68"/>
    <w:rsid w:val="00446B90"/>
    <w:rsid w:val="00447020"/>
    <w:rsid w:val="00447077"/>
    <w:rsid w:val="004474AA"/>
    <w:rsid w:val="004479CF"/>
    <w:rsid w:val="00447B98"/>
    <w:rsid w:val="00447BE7"/>
    <w:rsid w:val="00447F9E"/>
    <w:rsid w:val="0045030A"/>
    <w:rsid w:val="00451193"/>
    <w:rsid w:val="00451F36"/>
    <w:rsid w:val="00452253"/>
    <w:rsid w:val="00452D5B"/>
    <w:rsid w:val="00452FD5"/>
    <w:rsid w:val="00453414"/>
    <w:rsid w:val="0045347E"/>
    <w:rsid w:val="00453F4C"/>
    <w:rsid w:val="00453F4F"/>
    <w:rsid w:val="00454805"/>
    <w:rsid w:val="00454B5B"/>
    <w:rsid w:val="00454D7B"/>
    <w:rsid w:val="00454EC8"/>
    <w:rsid w:val="0045512E"/>
    <w:rsid w:val="0045577D"/>
    <w:rsid w:val="00455878"/>
    <w:rsid w:val="00455C52"/>
    <w:rsid w:val="00455E09"/>
    <w:rsid w:val="0045603B"/>
    <w:rsid w:val="00456A53"/>
    <w:rsid w:val="00456C7F"/>
    <w:rsid w:val="00456E4C"/>
    <w:rsid w:val="0045752B"/>
    <w:rsid w:val="00457661"/>
    <w:rsid w:val="00457AFB"/>
    <w:rsid w:val="00457B6A"/>
    <w:rsid w:val="00461792"/>
    <w:rsid w:val="00461E6F"/>
    <w:rsid w:val="00461E82"/>
    <w:rsid w:val="00463600"/>
    <w:rsid w:val="00463685"/>
    <w:rsid w:val="004636AC"/>
    <w:rsid w:val="00463C13"/>
    <w:rsid w:val="0046405F"/>
    <w:rsid w:val="004648AA"/>
    <w:rsid w:val="00464A82"/>
    <w:rsid w:val="00465866"/>
    <w:rsid w:val="00465991"/>
    <w:rsid w:val="00465A6B"/>
    <w:rsid w:val="00465C20"/>
    <w:rsid w:val="00465D4E"/>
    <w:rsid w:val="00466294"/>
    <w:rsid w:val="00466433"/>
    <w:rsid w:val="00467112"/>
    <w:rsid w:val="0046739F"/>
    <w:rsid w:val="004674D0"/>
    <w:rsid w:val="00467650"/>
    <w:rsid w:val="004704C9"/>
    <w:rsid w:val="004708C0"/>
    <w:rsid w:val="00471D81"/>
    <w:rsid w:val="00472056"/>
    <w:rsid w:val="004720E2"/>
    <w:rsid w:val="004723C2"/>
    <w:rsid w:val="00472DCE"/>
    <w:rsid w:val="00473147"/>
    <w:rsid w:val="004736B7"/>
    <w:rsid w:val="004741F6"/>
    <w:rsid w:val="00474220"/>
    <w:rsid w:val="00474319"/>
    <w:rsid w:val="00474479"/>
    <w:rsid w:val="00474B25"/>
    <w:rsid w:val="0047517E"/>
    <w:rsid w:val="00475340"/>
    <w:rsid w:val="004753B1"/>
    <w:rsid w:val="00475AD3"/>
    <w:rsid w:val="00475B35"/>
    <w:rsid w:val="00475D4A"/>
    <w:rsid w:val="00476045"/>
    <w:rsid w:val="004760A2"/>
    <w:rsid w:val="00476967"/>
    <w:rsid w:val="004805A9"/>
    <w:rsid w:val="0048090A"/>
    <w:rsid w:val="004809CA"/>
    <w:rsid w:val="00480DEB"/>
    <w:rsid w:val="0048153F"/>
    <w:rsid w:val="004815B3"/>
    <w:rsid w:val="00481A84"/>
    <w:rsid w:val="00481D12"/>
    <w:rsid w:val="00482CDF"/>
    <w:rsid w:val="00482EE6"/>
    <w:rsid w:val="00484B14"/>
    <w:rsid w:val="00484EF4"/>
    <w:rsid w:val="004852D0"/>
    <w:rsid w:val="00485340"/>
    <w:rsid w:val="00485D36"/>
    <w:rsid w:val="00485FAC"/>
    <w:rsid w:val="00486522"/>
    <w:rsid w:val="0048692B"/>
    <w:rsid w:val="00486DCB"/>
    <w:rsid w:val="00486E17"/>
    <w:rsid w:val="00487758"/>
    <w:rsid w:val="004877D7"/>
    <w:rsid w:val="00487B56"/>
    <w:rsid w:val="00487C9A"/>
    <w:rsid w:val="00487D50"/>
    <w:rsid w:val="00490A8F"/>
    <w:rsid w:val="00490F65"/>
    <w:rsid w:val="00491633"/>
    <w:rsid w:val="00491A56"/>
    <w:rsid w:val="004926A8"/>
    <w:rsid w:val="004928E8"/>
    <w:rsid w:val="0049322F"/>
    <w:rsid w:val="00493351"/>
    <w:rsid w:val="00493825"/>
    <w:rsid w:val="00493F36"/>
    <w:rsid w:val="004950C6"/>
    <w:rsid w:val="004953CF"/>
    <w:rsid w:val="00495D95"/>
    <w:rsid w:val="0049630D"/>
    <w:rsid w:val="00496D3E"/>
    <w:rsid w:val="00496F6D"/>
    <w:rsid w:val="00497237"/>
    <w:rsid w:val="00497420"/>
    <w:rsid w:val="00497865"/>
    <w:rsid w:val="00497FCE"/>
    <w:rsid w:val="004A0680"/>
    <w:rsid w:val="004A0B9E"/>
    <w:rsid w:val="004A10BF"/>
    <w:rsid w:val="004A10E6"/>
    <w:rsid w:val="004A14A9"/>
    <w:rsid w:val="004A21F6"/>
    <w:rsid w:val="004A22A0"/>
    <w:rsid w:val="004A28B8"/>
    <w:rsid w:val="004A2ECA"/>
    <w:rsid w:val="004A357F"/>
    <w:rsid w:val="004A374C"/>
    <w:rsid w:val="004A3BF3"/>
    <w:rsid w:val="004A3D65"/>
    <w:rsid w:val="004A435E"/>
    <w:rsid w:val="004A5692"/>
    <w:rsid w:val="004A5D6C"/>
    <w:rsid w:val="004A5DD0"/>
    <w:rsid w:val="004A63A6"/>
    <w:rsid w:val="004A6557"/>
    <w:rsid w:val="004A6659"/>
    <w:rsid w:val="004A6D5C"/>
    <w:rsid w:val="004A740E"/>
    <w:rsid w:val="004A7F1A"/>
    <w:rsid w:val="004B0278"/>
    <w:rsid w:val="004B0356"/>
    <w:rsid w:val="004B099B"/>
    <w:rsid w:val="004B1FA4"/>
    <w:rsid w:val="004B2249"/>
    <w:rsid w:val="004B2496"/>
    <w:rsid w:val="004B2735"/>
    <w:rsid w:val="004B3282"/>
    <w:rsid w:val="004B33D8"/>
    <w:rsid w:val="004B3563"/>
    <w:rsid w:val="004B3727"/>
    <w:rsid w:val="004B38DF"/>
    <w:rsid w:val="004B3E1E"/>
    <w:rsid w:val="004B3E49"/>
    <w:rsid w:val="004B3E6B"/>
    <w:rsid w:val="004B4132"/>
    <w:rsid w:val="004B4828"/>
    <w:rsid w:val="004B495E"/>
    <w:rsid w:val="004B4C80"/>
    <w:rsid w:val="004B5591"/>
    <w:rsid w:val="004B65FC"/>
    <w:rsid w:val="004B668B"/>
    <w:rsid w:val="004B7758"/>
    <w:rsid w:val="004C01D9"/>
    <w:rsid w:val="004C0412"/>
    <w:rsid w:val="004C0557"/>
    <w:rsid w:val="004C0578"/>
    <w:rsid w:val="004C0675"/>
    <w:rsid w:val="004C0A9B"/>
    <w:rsid w:val="004C1003"/>
    <w:rsid w:val="004C1599"/>
    <w:rsid w:val="004C185F"/>
    <w:rsid w:val="004C27AD"/>
    <w:rsid w:val="004C2942"/>
    <w:rsid w:val="004C2AC7"/>
    <w:rsid w:val="004C2D08"/>
    <w:rsid w:val="004C2EFC"/>
    <w:rsid w:val="004C33AC"/>
    <w:rsid w:val="004C33BF"/>
    <w:rsid w:val="004C3DEA"/>
    <w:rsid w:val="004C3ECD"/>
    <w:rsid w:val="004C3F15"/>
    <w:rsid w:val="004C3F51"/>
    <w:rsid w:val="004C4B53"/>
    <w:rsid w:val="004C4D2A"/>
    <w:rsid w:val="004C54B2"/>
    <w:rsid w:val="004C54FA"/>
    <w:rsid w:val="004C5955"/>
    <w:rsid w:val="004C60FC"/>
    <w:rsid w:val="004C61CF"/>
    <w:rsid w:val="004C6E0E"/>
    <w:rsid w:val="004C6E72"/>
    <w:rsid w:val="004C6EA4"/>
    <w:rsid w:val="004C7701"/>
    <w:rsid w:val="004C7724"/>
    <w:rsid w:val="004C7912"/>
    <w:rsid w:val="004C7F02"/>
    <w:rsid w:val="004D03E1"/>
    <w:rsid w:val="004D0881"/>
    <w:rsid w:val="004D0EBD"/>
    <w:rsid w:val="004D11E6"/>
    <w:rsid w:val="004D1310"/>
    <w:rsid w:val="004D1635"/>
    <w:rsid w:val="004D1919"/>
    <w:rsid w:val="004D211D"/>
    <w:rsid w:val="004D2211"/>
    <w:rsid w:val="004D26A0"/>
    <w:rsid w:val="004D2756"/>
    <w:rsid w:val="004D28A1"/>
    <w:rsid w:val="004D2B8F"/>
    <w:rsid w:val="004D30F2"/>
    <w:rsid w:val="004D33C3"/>
    <w:rsid w:val="004D3CBB"/>
    <w:rsid w:val="004D48D9"/>
    <w:rsid w:val="004D5246"/>
    <w:rsid w:val="004D57D3"/>
    <w:rsid w:val="004D5B2C"/>
    <w:rsid w:val="004D5D5D"/>
    <w:rsid w:val="004D61E5"/>
    <w:rsid w:val="004D62B1"/>
    <w:rsid w:val="004D64D7"/>
    <w:rsid w:val="004D69AB"/>
    <w:rsid w:val="004D6B79"/>
    <w:rsid w:val="004D6D9C"/>
    <w:rsid w:val="004D75BB"/>
    <w:rsid w:val="004D7A54"/>
    <w:rsid w:val="004D7EE0"/>
    <w:rsid w:val="004E0076"/>
    <w:rsid w:val="004E100B"/>
    <w:rsid w:val="004E12F1"/>
    <w:rsid w:val="004E19B9"/>
    <w:rsid w:val="004E31F8"/>
    <w:rsid w:val="004E3269"/>
    <w:rsid w:val="004E32BE"/>
    <w:rsid w:val="004E398E"/>
    <w:rsid w:val="004E39B1"/>
    <w:rsid w:val="004E3B35"/>
    <w:rsid w:val="004E3C29"/>
    <w:rsid w:val="004E5208"/>
    <w:rsid w:val="004E5BF7"/>
    <w:rsid w:val="004E6A5E"/>
    <w:rsid w:val="004E716F"/>
    <w:rsid w:val="004E7B4F"/>
    <w:rsid w:val="004E7F70"/>
    <w:rsid w:val="004F011A"/>
    <w:rsid w:val="004F0325"/>
    <w:rsid w:val="004F0756"/>
    <w:rsid w:val="004F07CA"/>
    <w:rsid w:val="004F10F7"/>
    <w:rsid w:val="004F1C21"/>
    <w:rsid w:val="004F267C"/>
    <w:rsid w:val="004F3260"/>
    <w:rsid w:val="004F3791"/>
    <w:rsid w:val="004F3A07"/>
    <w:rsid w:val="004F4215"/>
    <w:rsid w:val="004F45E8"/>
    <w:rsid w:val="004F477B"/>
    <w:rsid w:val="004F4D27"/>
    <w:rsid w:val="004F5306"/>
    <w:rsid w:val="004F5479"/>
    <w:rsid w:val="004F5582"/>
    <w:rsid w:val="004F57A3"/>
    <w:rsid w:val="004F57D1"/>
    <w:rsid w:val="004F57F0"/>
    <w:rsid w:val="004F5883"/>
    <w:rsid w:val="004F58E0"/>
    <w:rsid w:val="004F5FE9"/>
    <w:rsid w:val="004F6098"/>
    <w:rsid w:val="004F6897"/>
    <w:rsid w:val="004F6E91"/>
    <w:rsid w:val="004F6F3D"/>
    <w:rsid w:val="004F75F2"/>
    <w:rsid w:val="004F7ADE"/>
    <w:rsid w:val="005004CF"/>
    <w:rsid w:val="00500785"/>
    <w:rsid w:val="00500A2A"/>
    <w:rsid w:val="00500CA2"/>
    <w:rsid w:val="005018B2"/>
    <w:rsid w:val="005025D7"/>
    <w:rsid w:val="00503432"/>
    <w:rsid w:val="005035F1"/>
    <w:rsid w:val="00503D78"/>
    <w:rsid w:val="0050493E"/>
    <w:rsid w:val="0050533C"/>
    <w:rsid w:val="0050570C"/>
    <w:rsid w:val="005059A5"/>
    <w:rsid w:val="00505F2E"/>
    <w:rsid w:val="00505FD2"/>
    <w:rsid w:val="00506A39"/>
    <w:rsid w:val="00510825"/>
    <w:rsid w:val="00511A5B"/>
    <w:rsid w:val="00511CFF"/>
    <w:rsid w:val="00512E26"/>
    <w:rsid w:val="00513210"/>
    <w:rsid w:val="005138CE"/>
    <w:rsid w:val="005139B3"/>
    <w:rsid w:val="005139C5"/>
    <w:rsid w:val="00513A93"/>
    <w:rsid w:val="00513CA7"/>
    <w:rsid w:val="00513CD5"/>
    <w:rsid w:val="005142B7"/>
    <w:rsid w:val="005142F6"/>
    <w:rsid w:val="0051443A"/>
    <w:rsid w:val="00514892"/>
    <w:rsid w:val="00514AA4"/>
    <w:rsid w:val="00514E17"/>
    <w:rsid w:val="00514FE6"/>
    <w:rsid w:val="00515700"/>
    <w:rsid w:val="00515837"/>
    <w:rsid w:val="00515B2A"/>
    <w:rsid w:val="00515BDF"/>
    <w:rsid w:val="00515BE4"/>
    <w:rsid w:val="00516660"/>
    <w:rsid w:val="00516C30"/>
    <w:rsid w:val="0051713E"/>
    <w:rsid w:val="005172C1"/>
    <w:rsid w:val="0051739D"/>
    <w:rsid w:val="005177E3"/>
    <w:rsid w:val="00520754"/>
    <w:rsid w:val="0052092B"/>
    <w:rsid w:val="00520937"/>
    <w:rsid w:val="00521D9A"/>
    <w:rsid w:val="00522878"/>
    <w:rsid w:val="00522E50"/>
    <w:rsid w:val="00522F1D"/>
    <w:rsid w:val="005231F4"/>
    <w:rsid w:val="005233FA"/>
    <w:rsid w:val="005239B9"/>
    <w:rsid w:val="00523B49"/>
    <w:rsid w:val="00523DBB"/>
    <w:rsid w:val="00524077"/>
    <w:rsid w:val="0052429D"/>
    <w:rsid w:val="0052447C"/>
    <w:rsid w:val="00524534"/>
    <w:rsid w:val="005247A1"/>
    <w:rsid w:val="0052487D"/>
    <w:rsid w:val="005250A2"/>
    <w:rsid w:val="00525701"/>
    <w:rsid w:val="00525B71"/>
    <w:rsid w:val="00525E61"/>
    <w:rsid w:val="00526B1D"/>
    <w:rsid w:val="00526FDF"/>
    <w:rsid w:val="0052704F"/>
    <w:rsid w:val="00527D11"/>
    <w:rsid w:val="00527DB6"/>
    <w:rsid w:val="00527E20"/>
    <w:rsid w:val="00527F95"/>
    <w:rsid w:val="00530707"/>
    <w:rsid w:val="00530BB0"/>
    <w:rsid w:val="00530D74"/>
    <w:rsid w:val="00531D70"/>
    <w:rsid w:val="005325DC"/>
    <w:rsid w:val="00532A67"/>
    <w:rsid w:val="00533DA2"/>
    <w:rsid w:val="0053546B"/>
    <w:rsid w:val="00535492"/>
    <w:rsid w:val="005354E8"/>
    <w:rsid w:val="00535738"/>
    <w:rsid w:val="00536672"/>
    <w:rsid w:val="00536C99"/>
    <w:rsid w:val="0053754E"/>
    <w:rsid w:val="00537EE1"/>
    <w:rsid w:val="00540A68"/>
    <w:rsid w:val="00540C89"/>
    <w:rsid w:val="00540D95"/>
    <w:rsid w:val="00541180"/>
    <w:rsid w:val="005418F1"/>
    <w:rsid w:val="00541E26"/>
    <w:rsid w:val="00541E8C"/>
    <w:rsid w:val="005424A3"/>
    <w:rsid w:val="0054289D"/>
    <w:rsid w:val="005429E9"/>
    <w:rsid w:val="00542CC6"/>
    <w:rsid w:val="005430AB"/>
    <w:rsid w:val="00543701"/>
    <w:rsid w:val="005439A5"/>
    <w:rsid w:val="00543E3D"/>
    <w:rsid w:val="00543F87"/>
    <w:rsid w:val="00544193"/>
    <w:rsid w:val="005450AC"/>
    <w:rsid w:val="005452AD"/>
    <w:rsid w:val="005454F2"/>
    <w:rsid w:val="005459E6"/>
    <w:rsid w:val="00545FBA"/>
    <w:rsid w:val="005467D6"/>
    <w:rsid w:val="00546D60"/>
    <w:rsid w:val="00546E5A"/>
    <w:rsid w:val="005475E0"/>
    <w:rsid w:val="0054764F"/>
    <w:rsid w:val="005477DB"/>
    <w:rsid w:val="0055089E"/>
    <w:rsid w:val="0055092C"/>
    <w:rsid w:val="00550F3E"/>
    <w:rsid w:val="005527D5"/>
    <w:rsid w:val="00552880"/>
    <w:rsid w:val="005530AE"/>
    <w:rsid w:val="005531F4"/>
    <w:rsid w:val="00553258"/>
    <w:rsid w:val="0055359F"/>
    <w:rsid w:val="00553A33"/>
    <w:rsid w:val="00553C8E"/>
    <w:rsid w:val="00553F2B"/>
    <w:rsid w:val="0055420B"/>
    <w:rsid w:val="005542D3"/>
    <w:rsid w:val="0055435E"/>
    <w:rsid w:val="0055453B"/>
    <w:rsid w:val="00554697"/>
    <w:rsid w:val="00554C32"/>
    <w:rsid w:val="00555097"/>
    <w:rsid w:val="005554C5"/>
    <w:rsid w:val="005555C2"/>
    <w:rsid w:val="00555658"/>
    <w:rsid w:val="005558E9"/>
    <w:rsid w:val="00555F8D"/>
    <w:rsid w:val="00556648"/>
    <w:rsid w:val="00556F5A"/>
    <w:rsid w:val="005572EF"/>
    <w:rsid w:val="00557566"/>
    <w:rsid w:val="0055768A"/>
    <w:rsid w:val="00557693"/>
    <w:rsid w:val="00557C0E"/>
    <w:rsid w:val="00560921"/>
    <w:rsid w:val="00560D0F"/>
    <w:rsid w:val="005610C8"/>
    <w:rsid w:val="00561723"/>
    <w:rsid w:val="00561EAD"/>
    <w:rsid w:val="005625D1"/>
    <w:rsid w:val="0056284A"/>
    <w:rsid w:val="00562BDB"/>
    <w:rsid w:val="0056321C"/>
    <w:rsid w:val="005635DE"/>
    <w:rsid w:val="00563E18"/>
    <w:rsid w:val="00563F68"/>
    <w:rsid w:val="005642A0"/>
    <w:rsid w:val="005644CC"/>
    <w:rsid w:val="005645A2"/>
    <w:rsid w:val="005647F7"/>
    <w:rsid w:val="005655F1"/>
    <w:rsid w:val="00565867"/>
    <w:rsid w:val="00565B73"/>
    <w:rsid w:val="0056604F"/>
    <w:rsid w:val="0056679D"/>
    <w:rsid w:val="00566D09"/>
    <w:rsid w:val="005670FA"/>
    <w:rsid w:val="00567486"/>
    <w:rsid w:val="00567E4A"/>
    <w:rsid w:val="00570ABC"/>
    <w:rsid w:val="005710E9"/>
    <w:rsid w:val="005715F3"/>
    <w:rsid w:val="00572A2E"/>
    <w:rsid w:val="00572D03"/>
    <w:rsid w:val="005731EC"/>
    <w:rsid w:val="0057354D"/>
    <w:rsid w:val="0057366C"/>
    <w:rsid w:val="005740CC"/>
    <w:rsid w:val="00574282"/>
    <w:rsid w:val="005742B6"/>
    <w:rsid w:val="005744A7"/>
    <w:rsid w:val="00574A65"/>
    <w:rsid w:val="00574AC2"/>
    <w:rsid w:val="00574DB6"/>
    <w:rsid w:val="00575687"/>
    <w:rsid w:val="00575AC3"/>
    <w:rsid w:val="00575BB3"/>
    <w:rsid w:val="00575BF6"/>
    <w:rsid w:val="00575CDC"/>
    <w:rsid w:val="005760B9"/>
    <w:rsid w:val="00576DAF"/>
    <w:rsid w:val="0057716F"/>
    <w:rsid w:val="005773C2"/>
    <w:rsid w:val="00577406"/>
    <w:rsid w:val="00577C55"/>
    <w:rsid w:val="00577CB9"/>
    <w:rsid w:val="005800AA"/>
    <w:rsid w:val="005806DC"/>
    <w:rsid w:val="00580C2C"/>
    <w:rsid w:val="00580FB1"/>
    <w:rsid w:val="0058179E"/>
    <w:rsid w:val="00581DE5"/>
    <w:rsid w:val="00581DEF"/>
    <w:rsid w:val="005828AE"/>
    <w:rsid w:val="00582916"/>
    <w:rsid w:val="00582FF5"/>
    <w:rsid w:val="0058314E"/>
    <w:rsid w:val="005834C7"/>
    <w:rsid w:val="005838D6"/>
    <w:rsid w:val="00583A20"/>
    <w:rsid w:val="00583DCE"/>
    <w:rsid w:val="00583F4C"/>
    <w:rsid w:val="005840FA"/>
    <w:rsid w:val="00584ED7"/>
    <w:rsid w:val="005859C6"/>
    <w:rsid w:val="00585EAF"/>
    <w:rsid w:val="00586336"/>
    <w:rsid w:val="0058683A"/>
    <w:rsid w:val="00586D2F"/>
    <w:rsid w:val="00587304"/>
    <w:rsid w:val="005874AB"/>
    <w:rsid w:val="00587690"/>
    <w:rsid w:val="00587948"/>
    <w:rsid w:val="00587A39"/>
    <w:rsid w:val="005900CF"/>
    <w:rsid w:val="0059056A"/>
    <w:rsid w:val="005906FA"/>
    <w:rsid w:val="0059146E"/>
    <w:rsid w:val="0059179B"/>
    <w:rsid w:val="005926A2"/>
    <w:rsid w:val="00592B08"/>
    <w:rsid w:val="00592E69"/>
    <w:rsid w:val="00593062"/>
    <w:rsid w:val="0059308F"/>
    <w:rsid w:val="00593A82"/>
    <w:rsid w:val="00593DC7"/>
    <w:rsid w:val="00593FE5"/>
    <w:rsid w:val="005944B5"/>
    <w:rsid w:val="0059489A"/>
    <w:rsid w:val="00595129"/>
    <w:rsid w:val="00595164"/>
    <w:rsid w:val="005952CF"/>
    <w:rsid w:val="00595731"/>
    <w:rsid w:val="00595F0A"/>
    <w:rsid w:val="00595F1E"/>
    <w:rsid w:val="00595FD1"/>
    <w:rsid w:val="005969B8"/>
    <w:rsid w:val="00596D02"/>
    <w:rsid w:val="0059726A"/>
    <w:rsid w:val="00597318"/>
    <w:rsid w:val="005975C8"/>
    <w:rsid w:val="00597C6F"/>
    <w:rsid w:val="005A05E4"/>
    <w:rsid w:val="005A09CC"/>
    <w:rsid w:val="005A0B94"/>
    <w:rsid w:val="005A1262"/>
    <w:rsid w:val="005A15E4"/>
    <w:rsid w:val="005A1EEE"/>
    <w:rsid w:val="005A203A"/>
    <w:rsid w:val="005A23E6"/>
    <w:rsid w:val="005A249C"/>
    <w:rsid w:val="005A2687"/>
    <w:rsid w:val="005A28E3"/>
    <w:rsid w:val="005A2ABE"/>
    <w:rsid w:val="005A3492"/>
    <w:rsid w:val="005A3C32"/>
    <w:rsid w:val="005A3ED8"/>
    <w:rsid w:val="005A4448"/>
    <w:rsid w:val="005A4AD8"/>
    <w:rsid w:val="005A4E20"/>
    <w:rsid w:val="005A4FFD"/>
    <w:rsid w:val="005A529B"/>
    <w:rsid w:val="005A53AC"/>
    <w:rsid w:val="005A59C3"/>
    <w:rsid w:val="005A5E1C"/>
    <w:rsid w:val="005A6021"/>
    <w:rsid w:val="005A6055"/>
    <w:rsid w:val="005A62FB"/>
    <w:rsid w:val="005A6769"/>
    <w:rsid w:val="005A6E36"/>
    <w:rsid w:val="005A6EBE"/>
    <w:rsid w:val="005A7430"/>
    <w:rsid w:val="005A7737"/>
    <w:rsid w:val="005A776A"/>
    <w:rsid w:val="005A7B5F"/>
    <w:rsid w:val="005B0539"/>
    <w:rsid w:val="005B05F4"/>
    <w:rsid w:val="005B0954"/>
    <w:rsid w:val="005B0F92"/>
    <w:rsid w:val="005B14FC"/>
    <w:rsid w:val="005B182F"/>
    <w:rsid w:val="005B19C9"/>
    <w:rsid w:val="005B1BFA"/>
    <w:rsid w:val="005B2362"/>
    <w:rsid w:val="005B2C17"/>
    <w:rsid w:val="005B2D35"/>
    <w:rsid w:val="005B2DC2"/>
    <w:rsid w:val="005B3160"/>
    <w:rsid w:val="005B3838"/>
    <w:rsid w:val="005B3F73"/>
    <w:rsid w:val="005B4124"/>
    <w:rsid w:val="005B457F"/>
    <w:rsid w:val="005B4824"/>
    <w:rsid w:val="005B4C23"/>
    <w:rsid w:val="005B5338"/>
    <w:rsid w:val="005B5508"/>
    <w:rsid w:val="005B586F"/>
    <w:rsid w:val="005B603C"/>
    <w:rsid w:val="005B6650"/>
    <w:rsid w:val="005B6D6A"/>
    <w:rsid w:val="005B6E59"/>
    <w:rsid w:val="005B73E8"/>
    <w:rsid w:val="005B7F12"/>
    <w:rsid w:val="005B7F26"/>
    <w:rsid w:val="005C02F0"/>
    <w:rsid w:val="005C06A2"/>
    <w:rsid w:val="005C0AB3"/>
    <w:rsid w:val="005C1184"/>
    <w:rsid w:val="005C1449"/>
    <w:rsid w:val="005C163C"/>
    <w:rsid w:val="005C1A1C"/>
    <w:rsid w:val="005C1AC8"/>
    <w:rsid w:val="005C2141"/>
    <w:rsid w:val="005C24AA"/>
    <w:rsid w:val="005C2AD4"/>
    <w:rsid w:val="005C31B4"/>
    <w:rsid w:val="005C3319"/>
    <w:rsid w:val="005C3C9D"/>
    <w:rsid w:val="005C3D9B"/>
    <w:rsid w:val="005C4881"/>
    <w:rsid w:val="005C4B50"/>
    <w:rsid w:val="005C4C0D"/>
    <w:rsid w:val="005C4E0D"/>
    <w:rsid w:val="005C4F45"/>
    <w:rsid w:val="005C5482"/>
    <w:rsid w:val="005C57AA"/>
    <w:rsid w:val="005C57EF"/>
    <w:rsid w:val="005C5BE7"/>
    <w:rsid w:val="005C5CF1"/>
    <w:rsid w:val="005C5D0B"/>
    <w:rsid w:val="005C6BA2"/>
    <w:rsid w:val="005C6CA2"/>
    <w:rsid w:val="005C6E29"/>
    <w:rsid w:val="005C6F33"/>
    <w:rsid w:val="005C71B5"/>
    <w:rsid w:val="005C731D"/>
    <w:rsid w:val="005C7641"/>
    <w:rsid w:val="005C7647"/>
    <w:rsid w:val="005C78EA"/>
    <w:rsid w:val="005D06BF"/>
    <w:rsid w:val="005D08D3"/>
    <w:rsid w:val="005D21BE"/>
    <w:rsid w:val="005D2277"/>
    <w:rsid w:val="005D28A7"/>
    <w:rsid w:val="005D2AA4"/>
    <w:rsid w:val="005D2B3F"/>
    <w:rsid w:val="005D31CE"/>
    <w:rsid w:val="005D3294"/>
    <w:rsid w:val="005D3365"/>
    <w:rsid w:val="005D3617"/>
    <w:rsid w:val="005D3CD6"/>
    <w:rsid w:val="005D41C0"/>
    <w:rsid w:val="005D4917"/>
    <w:rsid w:val="005D4A22"/>
    <w:rsid w:val="005D4B8D"/>
    <w:rsid w:val="005D4C69"/>
    <w:rsid w:val="005D5033"/>
    <w:rsid w:val="005D55D7"/>
    <w:rsid w:val="005D56F7"/>
    <w:rsid w:val="005D642A"/>
    <w:rsid w:val="005D664C"/>
    <w:rsid w:val="005D66AA"/>
    <w:rsid w:val="005D7031"/>
    <w:rsid w:val="005D7DE5"/>
    <w:rsid w:val="005E00BA"/>
    <w:rsid w:val="005E0D0F"/>
    <w:rsid w:val="005E0D43"/>
    <w:rsid w:val="005E0E5A"/>
    <w:rsid w:val="005E1E1F"/>
    <w:rsid w:val="005E25D6"/>
    <w:rsid w:val="005E48B9"/>
    <w:rsid w:val="005E4D8C"/>
    <w:rsid w:val="005E5DED"/>
    <w:rsid w:val="005E694F"/>
    <w:rsid w:val="005E6B0F"/>
    <w:rsid w:val="005E6E34"/>
    <w:rsid w:val="005E713D"/>
    <w:rsid w:val="005E7850"/>
    <w:rsid w:val="005E793A"/>
    <w:rsid w:val="005E79AE"/>
    <w:rsid w:val="005E7C53"/>
    <w:rsid w:val="005F0504"/>
    <w:rsid w:val="005F0A79"/>
    <w:rsid w:val="005F102D"/>
    <w:rsid w:val="005F10BC"/>
    <w:rsid w:val="005F185A"/>
    <w:rsid w:val="005F2B31"/>
    <w:rsid w:val="005F2B9F"/>
    <w:rsid w:val="005F2C20"/>
    <w:rsid w:val="005F2F1E"/>
    <w:rsid w:val="005F3480"/>
    <w:rsid w:val="005F4023"/>
    <w:rsid w:val="005F42A6"/>
    <w:rsid w:val="005F4402"/>
    <w:rsid w:val="005F4E38"/>
    <w:rsid w:val="005F520C"/>
    <w:rsid w:val="005F5E7D"/>
    <w:rsid w:val="005F69D1"/>
    <w:rsid w:val="005F7238"/>
    <w:rsid w:val="005F72FF"/>
    <w:rsid w:val="005F7EAB"/>
    <w:rsid w:val="005F7EE5"/>
    <w:rsid w:val="006000E3"/>
    <w:rsid w:val="006004CD"/>
    <w:rsid w:val="006004EF"/>
    <w:rsid w:val="00600806"/>
    <w:rsid w:val="00600B73"/>
    <w:rsid w:val="00600D6B"/>
    <w:rsid w:val="00601065"/>
    <w:rsid w:val="006011B4"/>
    <w:rsid w:val="0060125E"/>
    <w:rsid w:val="006014FA"/>
    <w:rsid w:val="00601622"/>
    <w:rsid w:val="006018D6"/>
    <w:rsid w:val="00601CF7"/>
    <w:rsid w:val="00601F29"/>
    <w:rsid w:val="006022F9"/>
    <w:rsid w:val="006029BD"/>
    <w:rsid w:val="00602E51"/>
    <w:rsid w:val="006032F7"/>
    <w:rsid w:val="006036BB"/>
    <w:rsid w:val="006039A8"/>
    <w:rsid w:val="00604671"/>
    <w:rsid w:val="006046A3"/>
    <w:rsid w:val="00604E2F"/>
    <w:rsid w:val="00604F48"/>
    <w:rsid w:val="0060504A"/>
    <w:rsid w:val="00605503"/>
    <w:rsid w:val="00605DDF"/>
    <w:rsid w:val="00606406"/>
    <w:rsid w:val="00606487"/>
    <w:rsid w:val="006065E9"/>
    <w:rsid w:val="00606C40"/>
    <w:rsid w:val="00606D68"/>
    <w:rsid w:val="006072C7"/>
    <w:rsid w:val="00607B9B"/>
    <w:rsid w:val="00607F66"/>
    <w:rsid w:val="00610296"/>
    <w:rsid w:val="00610AA0"/>
    <w:rsid w:val="00610D8B"/>
    <w:rsid w:val="00610EF4"/>
    <w:rsid w:val="0061148D"/>
    <w:rsid w:val="00611892"/>
    <w:rsid w:val="00612BF4"/>
    <w:rsid w:val="006130B0"/>
    <w:rsid w:val="00613848"/>
    <w:rsid w:val="00614103"/>
    <w:rsid w:val="00614359"/>
    <w:rsid w:val="006144A4"/>
    <w:rsid w:val="0061484E"/>
    <w:rsid w:val="00615103"/>
    <w:rsid w:val="00617076"/>
    <w:rsid w:val="00617562"/>
    <w:rsid w:val="00617704"/>
    <w:rsid w:val="00617A90"/>
    <w:rsid w:val="00617CA1"/>
    <w:rsid w:val="00620262"/>
    <w:rsid w:val="006207BD"/>
    <w:rsid w:val="00620D70"/>
    <w:rsid w:val="00620DF3"/>
    <w:rsid w:val="006216DC"/>
    <w:rsid w:val="00621798"/>
    <w:rsid w:val="00621A37"/>
    <w:rsid w:val="00621B36"/>
    <w:rsid w:val="00621B58"/>
    <w:rsid w:val="00621EFD"/>
    <w:rsid w:val="00621F20"/>
    <w:rsid w:val="0062264C"/>
    <w:rsid w:val="00622842"/>
    <w:rsid w:val="0062291C"/>
    <w:rsid w:val="00622C8B"/>
    <w:rsid w:val="00622EA4"/>
    <w:rsid w:val="00623647"/>
    <w:rsid w:val="00623ACF"/>
    <w:rsid w:val="00623C1B"/>
    <w:rsid w:val="0062421E"/>
    <w:rsid w:val="006249BE"/>
    <w:rsid w:val="00624C9E"/>
    <w:rsid w:val="00624D7B"/>
    <w:rsid w:val="0062528B"/>
    <w:rsid w:val="006253CF"/>
    <w:rsid w:val="0062610C"/>
    <w:rsid w:val="0062674B"/>
    <w:rsid w:val="00626769"/>
    <w:rsid w:val="00626FF7"/>
    <w:rsid w:val="0062780C"/>
    <w:rsid w:val="00630364"/>
    <w:rsid w:val="00630668"/>
    <w:rsid w:val="00631284"/>
    <w:rsid w:val="0063165C"/>
    <w:rsid w:val="006316EA"/>
    <w:rsid w:val="00632170"/>
    <w:rsid w:val="0063226F"/>
    <w:rsid w:val="00632AD9"/>
    <w:rsid w:val="00633099"/>
    <w:rsid w:val="0063325F"/>
    <w:rsid w:val="00633889"/>
    <w:rsid w:val="00633D09"/>
    <w:rsid w:val="00634B5E"/>
    <w:rsid w:val="00635545"/>
    <w:rsid w:val="00635859"/>
    <w:rsid w:val="00635D05"/>
    <w:rsid w:val="006365FA"/>
    <w:rsid w:val="0063676E"/>
    <w:rsid w:val="00637108"/>
    <w:rsid w:val="00637351"/>
    <w:rsid w:val="0063748E"/>
    <w:rsid w:val="006376E8"/>
    <w:rsid w:val="006378BB"/>
    <w:rsid w:val="0064013F"/>
    <w:rsid w:val="00640226"/>
    <w:rsid w:val="00640808"/>
    <w:rsid w:val="0064103F"/>
    <w:rsid w:val="006413F1"/>
    <w:rsid w:val="006414DE"/>
    <w:rsid w:val="00641A2C"/>
    <w:rsid w:val="00641D01"/>
    <w:rsid w:val="00642073"/>
    <w:rsid w:val="006423A5"/>
    <w:rsid w:val="00642A54"/>
    <w:rsid w:val="00642D12"/>
    <w:rsid w:val="006431E0"/>
    <w:rsid w:val="006439CE"/>
    <w:rsid w:val="006440B0"/>
    <w:rsid w:val="006441C8"/>
    <w:rsid w:val="00644620"/>
    <w:rsid w:val="00645376"/>
    <w:rsid w:val="006458DD"/>
    <w:rsid w:val="0064598F"/>
    <w:rsid w:val="006459CF"/>
    <w:rsid w:val="00645D6E"/>
    <w:rsid w:val="006461A6"/>
    <w:rsid w:val="0064760D"/>
    <w:rsid w:val="00647ED6"/>
    <w:rsid w:val="00650113"/>
    <w:rsid w:val="006501DC"/>
    <w:rsid w:val="006502EC"/>
    <w:rsid w:val="00650A22"/>
    <w:rsid w:val="0065107B"/>
    <w:rsid w:val="006516CA"/>
    <w:rsid w:val="00651B68"/>
    <w:rsid w:val="00652B45"/>
    <w:rsid w:val="006530E6"/>
    <w:rsid w:val="006530F6"/>
    <w:rsid w:val="006531C0"/>
    <w:rsid w:val="0065345B"/>
    <w:rsid w:val="00654418"/>
    <w:rsid w:val="006549A0"/>
    <w:rsid w:val="00654F61"/>
    <w:rsid w:val="006551BB"/>
    <w:rsid w:val="00656005"/>
    <w:rsid w:val="00657916"/>
    <w:rsid w:val="00660561"/>
    <w:rsid w:val="00660A43"/>
    <w:rsid w:val="0066149C"/>
    <w:rsid w:val="00661E31"/>
    <w:rsid w:val="0066201E"/>
    <w:rsid w:val="006620F8"/>
    <w:rsid w:val="00663819"/>
    <w:rsid w:val="00663C4F"/>
    <w:rsid w:val="00664DC6"/>
    <w:rsid w:val="00664F1A"/>
    <w:rsid w:val="006650D5"/>
    <w:rsid w:val="00665181"/>
    <w:rsid w:val="00665285"/>
    <w:rsid w:val="0066534B"/>
    <w:rsid w:val="0066569A"/>
    <w:rsid w:val="00665AC4"/>
    <w:rsid w:val="00666543"/>
    <w:rsid w:val="00667181"/>
    <w:rsid w:val="00667966"/>
    <w:rsid w:val="00670101"/>
    <w:rsid w:val="00670407"/>
    <w:rsid w:val="00670E0F"/>
    <w:rsid w:val="00670E86"/>
    <w:rsid w:val="00672722"/>
    <w:rsid w:val="00672997"/>
    <w:rsid w:val="00672F6F"/>
    <w:rsid w:val="00672F84"/>
    <w:rsid w:val="0067320B"/>
    <w:rsid w:val="00673477"/>
    <w:rsid w:val="00673867"/>
    <w:rsid w:val="0067390A"/>
    <w:rsid w:val="00673BB6"/>
    <w:rsid w:val="00674191"/>
    <w:rsid w:val="006744FE"/>
    <w:rsid w:val="00674954"/>
    <w:rsid w:val="0067574E"/>
    <w:rsid w:val="00675C6C"/>
    <w:rsid w:val="006762AA"/>
    <w:rsid w:val="0067667F"/>
    <w:rsid w:val="00676A56"/>
    <w:rsid w:val="00676ACB"/>
    <w:rsid w:val="00677122"/>
    <w:rsid w:val="006773B1"/>
    <w:rsid w:val="00677453"/>
    <w:rsid w:val="00680431"/>
    <w:rsid w:val="006804DB"/>
    <w:rsid w:val="00681180"/>
    <w:rsid w:val="00682111"/>
    <w:rsid w:val="006823AB"/>
    <w:rsid w:val="00682789"/>
    <w:rsid w:val="00682CA2"/>
    <w:rsid w:val="006833CC"/>
    <w:rsid w:val="00683434"/>
    <w:rsid w:val="00683B99"/>
    <w:rsid w:val="00683CEF"/>
    <w:rsid w:val="00683D14"/>
    <w:rsid w:val="00683E21"/>
    <w:rsid w:val="00684505"/>
    <w:rsid w:val="00684896"/>
    <w:rsid w:val="00684954"/>
    <w:rsid w:val="00684AD6"/>
    <w:rsid w:val="006850A7"/>
    <w:rsid w:val="00685423"/>
    <w:rsid w:val="006856C3"/>
    <w:rsid w:val="00685966"/>
    <w:rsid w:val="00686C87"/>
    <w:rsid w:val="00687074"/>
    <w:rsid w:val="0068773C"/>
    <w:rsid w:val="00687C70"/>
    <w:rsid w:val="00687DB0"/>
    <w:rsid w:val="006901B4"/>
    <w:rsid w:val="00690E87"/>
    <w:rsid w:val="00691530"/>
    <w:rsid w:val="006918CC"/>
    <w:rsid w:val="00691F26"/>
    <w:rsid w:val="0069223D"/>
    <w:rsid w:val="0069230B"/>
    <w:rsid w:val="0069232E"/>
    <w:rsid w:val="006923E5"/>
    <w:rsid w:val="006923F7"/>
    <w:rsid w:val="00692430"/>
    <w:rsid w:val="00692562"/>
    <w:rsid w:val="00692753"/>
    <w:rsid w:val="0069306F"/>
    <w:rsid w:val="00693227"/>
    <w:rsid w:val="0069419C"/>
    <w:rsid w:val="0069429A"/>
    <w:rsid w:val="00694426"/>
    <w:rsid w:val="006946EC"/>
    <w:rsid w:val="006947F9"/>
    <w:rsid w:val="006948A5"/>
    <w:rsid w:val="00694A50"/>
    <w:rsid w:val="00695247"/>
    <w:rsid w:val="0069580E"/>
    <w:rsid w:val="00695B27"/>
    <w:rsid w:val="00695C42"/>
    <w:rsid w:val="00695C7D"/>
    <w:rsid w:val="006963CE"/>
    <w:rsid w:val="00696D07"/>
    <w:rsid w:val="00696F69"/>
    <w:rsid w:val="00697735"/>
    <w:rsid w:val="0069795F"/>
    <w:rsid w:val="006A150B"/>
    <w:rsid w:val="006A1DDC"/>
    <w:rsid w:val="006A2C72"/>
    <w:rsid w:val="006A3901"/>
    <w:rsid w:val="006A4318"/>
    <w:rsid w:val="006A45E9"/>
    <w:rsid w:val="006A4760"/>
    <w:rsid w:val="006A484B"/>
    <w:rsid w:val="006A5560"/>
    <w:rsid w:val="006A56AC"/>
    <w:rsid w:val="006A62BB"/>
    <w:rsid w:val="006A67C3"/>
    <w:rsid w:val="006A7809"/>
    <w:rsid w:val="006A7DF5"/>
    <w:rsid w:val="006B04D4"/>
    <w:rsid w:val="006B0B54"/>
    <w:rsid w:val="006B0CC0"/>
    <w:rsid w:val="006B193B"/>
    <w:rsid w:val="006B1CF0"/>
    <w:rsid w:val="006B2605"/>
    <w:rsid w:val="006B2BDD"/>
    <w:rsid w:val="006B2E28"/>
    <w:rsid w:val="006B2E98"/>
    <w:rsid w:val="006B37B4"/>
    <w:rsid w:val="006B3A24"/>
    <w:rsid w:val="006B3A81"/>
    <w:rsid w:val="006B4AAC"/>
    <w:rsid w:val="006B4AD9"/>
    <w:rsid w:val="006B4C5B"/>
    <w:rsid w:val="006B4F37"/>
    <w:rsid w:val="006B516B"/>
    <w:rsid w:val="006B5636"/>
    <w:rsid w:val="006B56F2"/>
    <w:rsid w:val="006B5A60"/>
    <w:rsid w:val="006B5F0A"/>
    <w:rsid w:val="006B6302"/>
    <w:rsid w:val="006B64CC"/>
    <w:rsid w:val="006B6859"/>
    <w:rsid w:val="006B6949"/>
    <w:rsid w:val="006B6D21"/>
    <w:rsid w:val="006B724E"/>
    <w:rsid w:val="006B73E3"/>
    <w:rsid w:val="006B7793"/>
    <w:rsid w:val="006B7FB0"/>
    <w:rsid w:val="006C0533"/>
    <w:rsid w:val="006C05B1"/>
    <w:rsid w:val="006C1646"/>
    <w:rsid w:val="006C2135"/>
    <w:rsid w:val="006C2516"/>
    <w:rsid w:val="006C2C7D"/>
    <w:rsid w:val="006C3148"/>
    <w:rsid w:val="006C34A2"/>
    <w:rsid w:val="006C3536"/>
    <w:rsid w:val="006C3C21"/>
    <w:rsid w:val="006C4AE3"/>
    <w:rsid w:val="006C56CF"/>
    <w:rsid w:val="006C5981"/>
    <w:rsid w:val="006C5C39"/>
    <w:rsid w:val="006C5E85"/>
    <w:rsid w:val="006C6E3C"/>
    <w:rsid w:val="006C6F54"/>
    <w:rsid w:val="006C6FF0"/>
    <w:rsid w:val="006C711D"/>
    <w:rsid w:val="006D005F"/>
    <w:rsid w:val="006D0113"/>
    <w:rsid w:val="006D08E3"/>
    <w:rsid w:val="006D0D6D"/>
    <w:rsid w:val="006D0D7C"/>
    <w:rsid w:val="006D1399"/>
    <w:rsid w:val="006D159D"/>
    <w:rsid w:val="006D20D7"/>
    <w:rsid w:val="006D21F5"/>
    <w:rsid w:val="006D2503"/>
    <w:rsid w:val="006D27E3"/>
    <w:rsid w:val="006D296B"/>
    <w:rsid w:val="006D2B1F"/>
    <w:rsid w:val="006D2D66"/>
    <w:rsid w:val="006D352E"/>
    <w:rsid w:val="006D3A96"/>
    <w:rsid w:val="006D3D20"/>
    <w:rsid w:val="006D40F6"/>
    <w:rsid w:val="006D47B8"/>
    <w:rsid w:val="006D4D85"/>
    <w:rsid w:val="006D5663"/>
    <w:rsid w:val="006D5935"/>
    <w:rsid w:val="006D5EC8"/>
    <w:rsid w:val="006D647F"/>
    <w:rsid w:val="006D6556"/>
    <w:rsid w:val="006D767B"/>
    <w:rsid w:val="006E064F"/>
    <w:rsid w:val="006E08B2"/>
    <w:rsid w:val="006E09DE"/>
    <w:rsid w:val="006E0AE6"/>
    <w:rsid w:val="006E1010"/>
    <w:rsid w:val="006E1520"/>
    <w:rsid w:val="006E159A"/>
    <w:rsid w:val="006E2117"/>
    <w:rsid w:val="006E22ED"/>
    <w:rsid w:val="006E275A"/>
    <w:rsid w:val="006E27ED"/>
    <w:rsid w:val="006E28C6"/>
    <w:rsid w:val="006E2EEA"/>
    <w:rsid w:val="006E2F6C"/>
    <w:rsid w:val="006E3011"/>
    <w:rsid w:val="006E312C"/>
    <w:rsid w:val="006E381A"/>
    <w:rsid w:val="006E3926"/>
    <w:rsid w:val="006E3C8A"/>
    <w:rsid w:val="006E4079"/>
    <w:rsid w:val="006E409C"/>
    <w:rsid w:val="006E419B"/>
    <w:rsid w:val="006E5760"/>
    <w:rsid w:val="006E58E4"/>
    <w:rsid w:val="006E5E5D"/>
    <w:rsid w:val="006F0515"/>
    <w:rsid w:val="006F07C5"/>
    <w:rsid w:val="006F0803"/>
    <w:rsid w:val="006F094A"/>
    <w:rsid w:val="006F09F3"/>
    <w:rsid w:val="006F0CA5"/>
    <w:rsid w:val="006F0CFB"/>
    <w:rsid w:val="006F1E7F"/>
    <w:rsid w:val="006F24F5"/>
    <w:rsid w:val="006F2775"/>
    <w:rsid w:val="006F3189"/>
    <w:rsid w:val="006F404D"/>
    <w:rsid w:val="006F40F0"/>
    <w:rsid w:val="006F42FC"/>
    <w:rsid w:val="006F49F4"/>
    <w:rsid w:val="006F5814"/>
    <w:rsid w:val="006F5933"/>
    <w:rsid w:val="006F59EF"/>
    <w:rsid w:val="006F616E"/>
    <w:rsid w:val="006F6297"/>
    <w:rsid w:val="006F6357"/>
    <w:rsid w:val="006F64B3"/>
    <w:rsid w:val="006F70D1"/>
    <w:rsid w:val="006F7393"/>
    <w:rsid w:val="006F774F"/>
    <w:rsid w:val="006F7A9B"/>
    <w:rsid w:val="007004E9"/>
    <w:rsid w:val="00700778"/>
    <w:rsid w:val="00700C51"/>
    <w:rsid w:val="0070177F"/>
    <w:rsid w:val="00701B1D"/>
    <w:rsid w:val="0070222D"/>
    <w:rsid w:val="007023EE"/>
    <w:rsid w:val="00702867"/>
    <w:rsid w:val="00702AC6"/>
    <w:rsid w:val="00702F5E"/>
    <w:rsid w:val="00703C66"/>
    <w:rsid w:val="00703F0E"/>
    <w:rsid w:val="007043F2"/>
    <w:rsid w:val="00704668"/>
    <w:rsid w:val="007058B9"/>
    <w:rsid w:val="0070597C"/>
    <w:rsid w:val="00705A02"/>
    <w:rsid w:val="00705F60"/>
    <w:rsid w:val="007060C2"/>
    <w:rsid w:val="00706244"/>
    <w:rsid w:val="0070674E"/>
    <w:rsid w:val="00706C8A"/>
    <w:rsid w:val="00706E5D"/>
    <w:rsid w:val="00706F6A"/>
    <w:rsid w:val="007070C4"/>
    <w:rsid w:val="007070DD"/>
    <w:rsid w:val="007072C2"/>
    <w:rsid w:val="00707E12"/>
    <w:rsid w:val="00710820"/>
    <w:rsid w:val="00710A4E"/>
    <w:rsid w:val="00710CEE"/>
    <w:rsid w:val="00710DA4"/>
    <w:rsid w:val="00711151"/>
    <w:rsid w:val="00711333"/>
    <w:rsid w:val="00711397"/>
    <w:rsid w:val="00711503"/>
    <w:rsid w:val="00711957"/>
    <w:rsid w:val="007119B0"/>
    <w:rsid w:val="00711D86"/>
    <w:rsid w:val="00711E03"/>
    <w:rsid w:val="00711E40"/>
    <w:rsid w:val="00712620"/>
    <w:rsid w:val="00713069"/>
    <w:rsid w:val="007135F1"/>
    <w:rsid w:val="00713638"/>
    <w:rsid w:val="00713CF0"/>
    <w:rsid w:val="00713D3E"/>
    <w:rsid w:val="00713E18"/>
    <w:rsid w:val="00714543"/>
    <w:rsid w:val="007148D4"/>
    <w:rsid w:val="00714BCF"/>
    <w:rsid w:val="00714DB5"/>
    <w:rsid w:val="0071652C"/>
    <w:rsid w:val="00716E53"/>
    <w:rsid w:val="00717E19"/>
    <w:rsid w:val="0072038F"/>
    <w:rsid w:val="00720441"/>
    <w:rsid w:val="0072064D"/>
    <w:rsid w:val="007206D7"/>
    <w:rsid w:val="00720E20"/>
    <w:rsid w:val="00721005"/>
    <w:rsid w:val="0072110F"/>
    <w:rsid w:val="0072129B"/>
    <w:rsid w:val="00721ADB"/>
    <w:rsid w:val="00721DD7"/>
    <w:rsid w:val="00722619"/>
    <w:rsid w:val="007229DB"/>
    <w:rsid w:val="00722D27"/>
    <w:rsid w:val="00723436"/>
    <w:rsid w:val="007237D1"/>
    <w:rsid w:val="00724B86"/>
    <w:rsid w:val="00724E08"/>
    <w:rsid w:val="00724F95"/>
    <w:rsid w:val="00724FAC"/>
    <w:rsid w:val="0072553E"/>
    <w:rsid w:val="0072566B"/>
    <w:rsid w:val="00725ABC"/>
    <w:rsid w:val="00725B55"/>
    <w:rsid w:val="007260E1"/>
    <w:rsid w:val="00726192"/>
    <w:rsid w:val="00726308"/>
    <w:rsid w:val="00727007"/>
    <w:rsid w:val="007308C6"/>
    <w:rsid w:val="00730F1A"/>
    <w:rsid w:val="00730F4E"/>
    <w:rsid w:val="00731017"/>
    <w:rsid w:val="007316E9"/>
    <w:rsid w:val="00732413"/>
    <w:rsid w:val="0073249A"/>
    <w:rsid w:val="00732EE0"/>
    <w:rsid w:val="00732F47"/>
    <w:rsid w:val="00733227"/>
    <w:rsid w:val="00733762"/>
    <w:rsid w:val="00733C55"/>
    <w:rsid w:val="007346B6"/>
    <w:rsid w:val="00734942"/>
    <w:rsid w:val="0073495C"/>
    <w:rsid w:val="00734AAB"/>
    <w:rsid w:val="00734CC8"/>
    <w:rsid w:val="00736074"/>
    <w:rsid w:val="00736474"/>
    <w:rsid w:val="00736C3B"/>
    <w:rsid w:val="00736C6C"/>
    <w:rsid w:val="00736FB0"/>
    <w:rsid w:val="00737098"/>
    <w:rsid w:val="00737F94"/>
    <w:rsid w:val="00737F99"/>
    <w:rsid w:val="00740A4D"/>
    <w:rsid w:val="00740C77"/>
    <w:rsid w:val="00741433"/>
    <w:rsid w:val="007416AE"/>
    <w:rsid w:val="00741D6D"/>
    <w:rsid w:val="00742750"/>
    <w:rsid w:val="0074336B"/>
    <w:rsid w:val="00743483"/>
    <w:rsid w:val="00743CDE"/>
    <w:rsid w:val="00743DC1"/>
    <w:rsid w:val="00744052"/>
    <w:rsid w:val="00744854"/>
    <w:rsid w:val="00744CEB"/>
    <w:rsid w:val="00745011"/>
    <w:rsid w:val="007469DE"/>
    <w:rsid w:val="00746BBD"/>
    <w:rsid w:val="00747BC4"/>
    <w:rsid w:val="0075009B"/>
    <w:rsid w:val="007500C8"/>
    <w:rsid w:val="00750960"/>
    <w:rsid w:val="007516C7"/>
    <w:rsid w:val="007521C0"/>
    <w:rsid w:val="0075288F"/>
    <w:rsid w:val="00752B75"/>
    <w:rsid w:val="0075314E"/>
    <w:rsid w:val="00753308"/>
    <w:rsid w:val="00753608"/>
    <w:rsid w:val="007538DE"/>
    <w:rsid w:val="00753915"/>
    <w:rsid w:val="00753932"/>
    <w:rsid w:val="00754104"/>
    <w:rsid w:val="007548F1"/>
    <w:rsid w:val="00754E65"/>
    <w:rsid w:val="0075505A"/>
    <w:rsid w:val="0075587B"/>
    <w:rsid w:val="007559D6"/>
    <w:rsid w:val="00755BE5"/>
    <w:rsid w:val="00756622"/>
    <w:rsid w:val="00756BFD"/>
    <w:rsid w:val="00756BFF"/>
    <w:rsid w:val="00756E38"/>
    <w:rsid w:val="00756F93"/>
    <w:rsid w:val="007572AF"/>
    <w:rsid w:val="0075761D"/>
    <w:rsid w:val="00757B89"/>
    <w:rsid w:val="00757FBD"/>
    <w:rsid w:val="00760005"/>
    <w:rsid w:val="0076038A"/>
    <w:rsid w:val="007603C6"/>
    <w:rsid w:val="00760879"/>
    <w:rsid w:val="0076105E"/>
    <w:rsid w:val="00761758"/>
    <w:rsid w:val="0076177C"/>
    <w:rsid w:val="00761917"/>
    <w:rsid w:val="00761C3F"/>
    <w:rsid w:val="00761C9F"/>
    <w:rsid w:val="00762BBC"/>
    <w:rsid w:val="00762C99"/>
    <w:rsid w:val="00762DB0"/>
    <w:rsid w:val="007635D1"/>
    <w:rsid w:val="00763C98"/>
    <w:rsid w:val="00763DAB"/>
    <w:rsid w:val="00764111"/>
    <w:rsid w:val="0076446B"/>
    <w:rsid w:val="007647AC"/>
    <w:rsid w:val="00764A58"/>
    <w:rsid w:val="00764B31"/>
    <w:rsid w:val="00764B42"/>
    <w:rsid w:val="00764C5C"/>
    <w:rsid w:val="007650A3"/>
    <w:rsid w:val="00765180"/>
    <w:rsid w:val="00766715"/>
    <w:rsid w:val="0076675D"/>
    <w:rsid w:val="007700B0"/>
    <w:rsid w:val="007707B1"/>
    <w:rsid w:val="007707CB"/>
    <w:rsid w:val="00770BA0"/>
    <w:rsid w:val="00770DFB"/>
    <w:rsid w:val="00771125"/>
    <w:rsid w:val="007712AE"/>
    <w:rsid w:val="007712C5"/>
    <w:rsid w:val="00771A45"/>
    <w:rsid w:val="007723E1"/>
    <w:rsid w:val="00773180"/>
    <w:rsid w:val="00773691"/>
    <w:rsid w:val="007736AF"/>
    <w:rsid w:val="007737B6"/>
    <w:rsid w:val="00773D15"/>
    <w:rsid w:val="007752CD"/>
    <w:rsid w:val="00775302"/>
    <w:rsid w:val="007755E9"/>
    <w:rsid w:val="00775C0E"/>
    <w:rsid w:val="00775E19"/>
    <w:rsid w:val="007769EA"/>
    <w:rsid w:val="00777D24"/>
    <w:rsid w:val="00780F0C"/>
    <w:rsid w:val="00781022"/>
    <w:rsid w:val="00781711"/>
    <w:rsid w:val="00781792"/>
    <w:rsid w:val="00781FE3"/>
    <w:rsid w:val="00782095"/>
    <w:rsid w:val="00782D41"/>
    <w:rsid w:val="007833A3"/>
    <w:rsid w:val="007834EA"/>
    <w:rsid w:val="00783CA0"/>
    <w:rsid w:val="00783D6D"/>
    <w:rsid w:val="00783F77"/>
    <w:rsid w:val="00783FDF"/>
    <w:rsid w:val="00784687"/>
    <w:rsid w:val="007849A6"/>
    <w:rsid w:val="00784D43"/>
    <w:rsid w:val="00785229"/>
    <w:rsid w:val="00785F5C"/>
    <w:rsid w:val="00785FB9"/>
    <w:rsid w:val="007865B6"/>
    <w:rsid w:val="0078667E"/>
    <w:rsid w:val="00786A8F"/>
    <w:rsid w:val="00786B35"/>
    <w:rsid w:val="00786F16"/>
    <w:rsid w:val="00786F95"/>
    <w:rsid w:val="00787421"/>
    <w:rsid w:val="00787A11"/>
    <w:rsid w:val="007901B6"/>
    <w:rsid w:val="00790793"/>
    <w:rsid w:val="00790A65"/>
    <w:rsid w:val="00790C44"/>
    <w:rsid w:val="00790DAF"/>
    <w:rsid w:val="00791195"/>
    <w:rsid w:val="00791739"/>
    <w:rsid w:val="00791C99"/>
    <w:rsid w:val="007928EC"/>
    <w:rsid w:val="00792D60"/>
    <w:rsid w:val="0079323D"/>
    <w:rsid w:val="00794791"/>
    <w:rsid w:val="007949B0"/>
    <w:rsid w:val="007955C0"/>
    <w:rsid w:val="00795674"/>
    <w:rsid w:val="007956A1"/>
    <w:rsid w:val="007956DB"/>
    <w:rsid w:val="00795B8B"/>
    <w:rsid w:val="00795FE7"/>
    <w:rsid w:val="00796311"/>
    <w:rsid w:val="00796999"/>
    <w:rsid w:val="007969F0"/>
    <w:rsid w:val="007969F2"/>
    <w:rsid w:val="00796A5B"/>
    <w:rsid w:val="00796E7C"/>
    <w:rsid w:val="007972CE"/>
    <w:rsid w:val="00797368"/>
    <w:rsid w:val="00797A0B"/>
    <w:rsid w:val="00797A17"/>
    <w:rsid w:val="00797BC6"/>
    <w:rsid w:val="007A00CD"/>
    <w:rsid w:val="007A0ED8"/>
    <w:rsid w:val="007A1434"/>
    <w:rsid w:val="007A1742"/>
    <w:rsid w:val="007A18F0"/>
    <w:rsid w:val="007A1A31"/>
    <w:rsid w:val="007A1D78"/>
    <w:rsid w:val="007A3242"/>
    <w:rsid w:val="007A3B1D"/>
    <w:rsid w:val="007A3B76"/>
    <w:rsid w:val="007A3CD6"/>
    <w:rsid w:val="007A3EA8"/>
    <w:rsid w:val="007A40A3"/>
    <w:rsid w:val="007A4C20"/>
    <w:rsid w:val="007A5194"/>
    <w:rsid w:val="007A53B3"/>
    <w:rsid w:val="007A54F1"/>
    <w:rsid w:val="007A5D2A"/>
    <w:rsid w:val="007A5E81"/>
    <w:rsid w:val="007A629F"/>
    <w:rsid w:val="007A692D"/>
    <w:rsid w:val="007A6C7C"/>
    <w:rsid w:val="007A7960"/>
    <w:rsid w:val="007B0D13"/>
    <w:rsid w:val="007B1291"/>
    <w:rsid w:val="007B1337"/>
    <w:rsid w:val="007B14E5"/>
    <w:rsid w:val="007B188D"/>
    <w:rsid w:val="007B1E54"/>
    <w:rsid w:val="007B26CA"/>
    <w:rsid w:val="007B304D"/>
    <w:rsid w:val="007B30A9"/>
    <w:rsid w:val="007B3819"/>
    <w:rsid w:val="007B4A40"/>
    <w:rsid w:val="007B5746"/>
    <w:rsid w:val="007B5A26"/>
    <w:rsid w:val="007B5EB8"/>
    <w:rsid w:val="007B61CB"/>
    <w:rsid w:val="007B7123"/>
    <w:rsid w:val="007B71DC"/>
    <w:rsid w:val="007B72EE"/>
    <w:rsid w:val="007C0236"/>
    <w:rsid w:val="007C0963"/>
    <w:rsid w:val="007C0D0D"/>
    <w:rsid w:val="007C0FE1"/>
    <w:rsid w:val="007C1029"/>
    <w:rsid w:val="007C11F0"/>
    <w:rsid w:val="007C195D"/>
    <w:rsid w:val="007C1D4D"/>
    <w:rsid w:val="007C2365"/>
    <w:rsid w:val="007C249B"/>
    <w:rsid w:val="007C2B4F"/>
    <w:rsid w:val="007C2BBD"/>
    <w:rsid w:val="007C30BD"/>
    <w:rsid w:val="007C35C5"/>
    <w:rsid w:val="007C3A81"/>
    <w:rsid w:val="007C3A9A"/>
    <w:rsid w:val="007C4D0F"/>
    <w:rsid w:val="007C5A3D"/>
    <w:rsid w:val="007C5BD6"/>
    <w:rsid w:val="007C5F42"/>
    <w:rsid w:val="007C6BDB"/>
    <w:rsid w:val="007C71B4"/>
    <w:rsid w:val="007C726E"/>
    <w:rsid w:val="007C762A"/>
    <w:rsid w:val="007C78F6"/>
    <w:rsid w:val="007C7ADC"/>
    <w:rsid w:val="007D009C"/>
    <w:rsid w:val="007D0108"/>
    <w:rsid w:val="007D0701"/>
    <w:rsid w:val="007D10CF"/>
    <w:rsid w:val="007D1479"/>
    <w:rsid w:val="007D24F0"/>
    <w:rsid w:val="007D3A8E"/>
    <w:rsid w:val="007D4DD5"/>
    <w:rsid w:val="007D513F"/>
    <w:rsid w:val="007D5716"/>
    <w:rsid w:val="007D59C6"/>
    <w:rsid w:val="007D5C1B"/>
    <w:rsid w:val="007D5C28"/>
    <w:rsid w:val="007D5D49"/>
    <w:rsid w:val="007D5FE6"/>
    <w:rsid w:val="007D6184"/>
    <w:rsid w:val="007D68C1"/>
    <w:rsid w:val="007D6A73"/>
    <w:rsid w:val="007D6E22"/>
    <w:rsid w:val="007D70AC"/>
    <w:rsid w:val="007D7553"/>
    <w:rsid w:val="007D773C"/>
    <w:rsid w:val="007D7910"/>
    <w:rsid w:val="007D7BA0"/>
    <w:rsid w:val="007E0600"/>
    <w:rsid w:val="007E0DC8"/>
    <w:rsid w:val="007E1A27"/>
    <w:rsid w:val="007E1F1A"/>
    <w:rsid w:val="007E2113"/>
    <w:rsid w:val="007E29B3"/>
    <w:rsid w:val="007E2A4B"/>
    <w:rsid w:val="007E2E54"/>
    <w:rsid w:val="007E3387"/>
    <w:rsid w:val="007E33D1"/>
    <w:rsid w:val="007E3570"/>
    <w:rsid w:val="007E358D"/>
    <w:rsid w:val="007E3907"/>
    <w:rsid w:val="007E3EF4"/>
    <w:rsid w:val="007E40FC"/>
    <w:rsid w:val="007E4528"/>
    <w:rsid w:val="007E503C"/>
    <w:rsid w:val="007E50F0"/>
    <w:rsid w:val="007E5D53"/>
    <w:rsid w:val="007E5F3D"/>
    <w:rsid w:val="007E6226"/>
    <w:rsid w:val="007E6400"/>
    <w:rsid w:val="007E6587"/>
    <w:rsid w:val="007E6925"/>
    <w:rsid w:val="007E70F1"/>
    <w:rsid w:val="007E7A11"/>
    <w:rsid w:val="007E7A76"/>
    <w:rsid w:val="007F0A4C"/>
    <w:rsid w:val="007F1698"/>
    <w:rsid w:val="007F1F1F"/>
    <w:rsid w:val="007F21C9"/>
    <w:rsid w:val="007F2283"/>
    <w:rsid w:val="007F263E"/>
    <w:rsid w:val="007F31A4"/>
    <w:rsid w:val="007F38BD"/>
    <w:rsid w:val="007F3E64"/>
    <w:rsid w:val="007F48A9"/>
    <w:rsid w:val="007F4C7D"/>
    <w:rsid w:val="007F5227"/>
    <w:rsid w:val="007F53B7"/>
    <w:rsid w:val="007F578F"/>
    <w:rsid w:val="007F5A8B"/>
    <w:rsid w:val="007F5E0E"/>
    <w:rsid w:val="007F623E"/>
    <w:rsid w:val="007F63D6"/>
    <w:rsid w:val="007F65A5"/>
    <w:rsid w:val="007F676F"/>
    <w:rsid w:val="007F6D86"/>
    <w:rsid w:val="007F7CAF"/>
    <w:rsid w:val="007F7F4C"/>
    <w:rsid w:val="00800434"/>
    <w:rsid w:val="008004D1"/>
    <w:rsid w:val="00801818"/>
    <w:rsid w:val="00801898"/>
    <w:rsid w:val="00801AD8"/>
    <w:rsid w:val="00801C07"/>
    <w:rsid w:val="00801DD8"/>
    <w:rsid w:val="00802026"/>
    <w:rsid w:val="0080236A"/>
    <w:rsid w:val="0080237C"/>
    <w:rsid w:val="008024BA"/>
    <w:rsid w:val="0080251F"/>
    <w:rsid w:val="00803A4D"/>
    <w:rsid w:val="00803E06"/>
    <w:rsid w:val="00804028"/>
    <w:rsid w:val="008042E7"/>
    <w:rsid w:val="00804545"/>
    <w:rsid w:val="00804654"/>
    <w:rsid w:val="008049F5"/>
    <w:rsid w:val="0080528E"/>
    <w:rsid w:val="00805668"/>
    <w:rsid w:val="00805B06"/>
    <w:rsid w:val="00805B0C"/>
    <w:rsid w:val="00806323"/>
    <w:rsid w:val="008067B6"/>
    <w:rsid w:val="008067DA"/>
    <w:rsid w:val="00806D70"/>
    <w:rsid w:val="00806F22"/>
    <w:rsid w:val="00807091"/>
    <w:rsid w:val="00807120"/>
    <w:rsid w:val="0080788E"/>
    <w:rsid w:val="00807926"/>
    <w:rsid w:val="0080797E"/>
    <w:rsid w:val="00807B23"/>
    <w:rsid w:val="00807FEA"/>
    <w:rsid w:val="0081005D"/>
    <w:rsid w:val="00810A1C"/>
    <w:rsid w:val="008112DE"/>
    <w:rsid w:val="0081132A"/>
    <w:rsid w:val="00811546"/>
    <w:rsid w:val="00811840"/>
    <w:rsid w:val="00811AFB"/>
    <w:rsid w:val="00811DA3"/>
    <w:rsid w:val="00811DDB"/>
    <w:rsid w:val="00812093"/>
    <w:rsid w:val="008128F3"/>
    <w:rsid w:val="00812E1A"/>
    <w:rsid w:val="00813160"/>
    <w:rsid w:val="00813616"/>
    <w:rsid w:val="00813874"/>
    <w:rsid w:val="00813A6B"/>
    <w:rsid w:val="00814992"/>
    <w:rsid w:val="0081531B"/>
    <w:rsid w:val="00815584"/>
    <w:rsid w:val="008156FB"/>
    <w:rsid w:val="008159BE"/>
    <w:rsid w:val="00815A32"/>
    <w:rsid w:val="00815D0B"/>
    <w:rsid w:val="00816660"/>
    <w:rsid w:val="008174EB"/>
    <w:rsid w:val="00817B22"/>
    <w:rsid w:val="00817C8F"/>
    <w:rsid w:val="00817D9B"/>
    <w:rsid w:val="008203C1"/>
    <w:rsid w:val="00820B47"/>
    <w:rsid w:val="008216BE"/>
    <w:rsid w:val="00821A29"/>
    <w:rsid w:val="008228DD"/>
    <w:rsid w:val="00822917"/>
    <w:rsid w:val="00822F05"/>
    <w:rsid w:val="008231DE"/>
    <w:rsid w:val="00823DF0"/>
    <w:rsid w:val="008243D1"/>
    <w:rsid w:val="008244ED"/>
    <w:rsid w:val="00824AAA"/>
    <w:rsid w:val="00824BE4"/>
    <w:rsid w:val="0082521B"/>
    <w:rsid w:val="00825461"/>
    <w:rsid w:val="008256E5"/>
    <w:rsid w:val="008259C9"/>
    <w:rsid w:val="00825DED"/>
    <w:rsid w:val="00825E15"/>
    <w:rsid w:val="00826088"/>
    <w:rsid w:val="00827440"/>
    <w:rsid w:val="00827B3A"/>
    <w:rsid w:val="00827FAC"/>
    <w:rsid w:val="00830982"/>
    <w:rsid w:val="00830B61"/>
    <w:rsid w:val="00831B3D"/>
    <w:rsid w:val="00831DA3"/>
    <w:rsid w:val="00831EC0"/>
    <w:rsid w:val="0083203D"/>
    <w:rsid w:val="00832235"/>
    <w:rsid w:val="00832AB7"/>
    <w:rsid w:val="00832BD2"/>
    <w:rsid w:val="00833B28"/>
    <w:rsid w:val="00834404"/>
    <w:rsid w:val="008346C8"/>
    <w:rsid w:val="00835332"/>
    <w:rsid w:val="0083583E"/>
    <w:rsid w:val="00836146"/>
    <w:rsid w:val="00836716"/>
    <w:rsid w:val="00836E1A"/>
    <w:rsid w:val="00837811"/>
    <w:rsid w:val="00837D4E"/>
    <w:rsid w:val="0084013A"/>
    <w:rsid w:val="00840751"/>
    <w:rsid w:val="00840A17"/>
    <w:rsid w:val="00840E0E"/>
    <w:rsid w:val="00841099"/>
    <w:rsid w:val="008410FA"/>
    <w:rsid w:val="00841255"/>
    <w:rsid w:val="008416DA"/>
    <w:rsid w:val="00841702"/>
    <w:rsid w:val="00842095"/>
    <w:rsid w:val="00842172"/>
    <w:rsid w:val="0084223E"/>
    <w:rsid w:val="008422CE"/>
    <w:rsid w:val="00842307"/>
    <w:rsid w:val="00842BCD"/>
    <w:rsid w:val="00843100"/>
    <w:rsid w:val="00843178"/>
    <w:rsid w:val="00845102"/>
    <w:rsid w:val="00845108"/>
    <w:rsid w:val="00845222"/>
    <w:rsid w:val="008454BC"/>
    <w:rsid w:val="00845854"/>
    <w:rsid w:val="008461DD"/>
    <w:rsid w:val="008461E3"/>
    <w:rsid w:val="00846630"/>
    <w:rsid w:val="00846E5C"/>
    <w:rsid w:val="00847456"/>
    <w:rsid w:val="008477A7"/>
    <w:rsid w:val="00847BA2"/>
    <w:rsid w:val="00847E4B"/>
    <w:rsid w:val="0085022E"/>
    <w:rsid w:val="00850558"/>
    <w:rsid w:val="00850928"/>
    <w:rsid w:val="00851164"/>
    <w:rsid w:val="0085143D"/>
    <w:rsid w:val="008514B7"/>
    <w:rsid w:val="00851A94"/>
    <w:rsid w:val="0085266B"/>
    <w:rsid w:val="00852B24"/>
    <w:rsid w:val="008530C3"/>
    <w:rsid w:val="00853C2B"/>
    <w:rsid w:val="00854600"/>
    <w:rsid w:val="00854AC1"/>
    <w:rsid w:val="00854C5C"/>
    <w:rsid w:val="008557E5"/>
    <w:rsid w:val="008557E7"/>
    <w:rsid w:val="00855BBD"/>
    <w:rsid w:val="00855C35"/>
    <w:rsid w:val="00855F66"/>
    <w:rsid w:val="00855FDD"/>
    <w:rsid w:val="008560D4"/>
    <w:rsid w:val="00856147"/>
    <w:rsid w:val="008563F5"/>
    <w:rsid w:val="008567C4"/>
    <w:rsid w:val="00856C9F"/>
    <w:rsid w:val="00856D17"/>
    <w:rsid w:val="00856D6C"/>
    <w:rsid w:val="00857986"/>
    <w:rsid w:val="00857C6C"/>
    <w:rsid w:val="008601D7"/>
    <w:rsid w:val="008601F3"/>
    <w:rsid w:val="00860B1D"/>
    <w:rsid w:val="00861043"/>
    <w:rsid w:val="00861306"/>
    <w:rsid w:val="00861530"/>
    <w:rsid w:val="008615A6"/>
    <w:rsid w:val="00861E06"/>
    <w:rsid w:val="00861EDC"/>
    <w:rsid w:val="00862451"/>
    <w:rsid w:val="00862780"/>
    <w:rsid w:val="008628DB"/>
    <w:rsid w:val="0086298D"/>
    <w:rsid w:val="00863332"/>
    <w:rsid w:val="0086369E"/>
    <w:rsid w:val="0086399A"/>
    <w:rsid w:val="00863A5A"/>
    <w:rsid w:val="00863BAF"/>
    <w:rsid w:val="00864075"/>
    <w:rsid w:val="00864E80"/>
    <w:rsid w:val="0086544F"/>
    <w:rsid w:val="008659A6"/>
    <w:rsid w:val="00865D12"/>
    <w:rsid w:val="008662D7"/>
    <w:rsid w:val="00866D81"/>
    <w:rsid w:val="00866F71"/>
    <w:rsid w:val="00867274"/>
    <w:rsid w:val="00867B79"/>
    <w:rsid w:val="00867F29"/>
    <w:rsid w:val="00870264"/>
    <w:rsid w:val="00870963"/>
    <w:rsid w:val="008710CD"/>
    <w:rsid w:val="00871165"/>
    <w:rsid w:val="00871669"/>
    <w:rsid w:val="00871C19"/>
    <w:rsid w:val="00872674"/>
    <w:rsid w:val="00872BC8"/>
    <w:rsid w:val="00873E28"/>
    <w:rsid w:val="0087419E"/>
    <w:rsid w:val="00874E3B"/>
    <w:rsid w:val="008754A8"/>
    <w:rsid w:val="00875D33"/>
    <w:rsid w:val="0087622D"/>
    <w:rsid w:val="008765C9"/>
    <w:rsid w:val="00876689"/>
    <w:rsid w:val="00876E90"/>
    <w:rsid w:val="00876F67"/>
    <w:rsid w:val="00876FB1"/>
    <w:rsid w:val="008770CB"/>
    <w:rsid w:val="00877641"/>
    <w:rsid w:val="008808AE"/>
    <w:rsid w:val="00880DF9"/>
    <w:rsid w:val="0088193D"/>
    <w:rsid w:val="008826F5"/>
    <w:rsid w:val="00882C22"/>
    <w:rsid w:val="00882C39"/>
    <w:rsid w:val="0088305E"/>
    <w:rsid w:val="008832B6"/>
    <w:rsid w:val="008835F6"/>
    <w:rsid w:val="008839D6"/>
    <w:rsid w:val="00883AE8"/>
    <w:rsid w:val="00883D40"/>
    <w:rsid w:val="0088420C"/>
    <w:rsid w:val="00884225"/>
    <w:rsid w:val="00884465"/>
    <w:rsid w:val="00884BBB"/>
    <w:rsid w:val="00884CF8"/>
    <w:rsid w:val="0088589F"/>
    <w:rsid w:val="00885AEB"/>
    <w:rsid w:val="00885E9E"/>
    <w:rsid w:val="0088626E"/>
    <w:rsid w:val="008866B2"/>
    <w:rsid w:val="00886B9A"/>
    <w:rsid w:val="00887607"/>
    <w:rsid w:val="008877C6"/>
    <w:rsid w:val="008878F9"/>
    <w:rsid w:val="00887A7A"/>
    <w:rsid w:val="00887E37"/>
    <w:rsid w:val="00890784"/>
    <w:rsid w:val="00890E02"/>
    <w:rsid w:val="00890FF6"/>
    <w:rsid w:val="00891BA5"/>
    <w:rsid w:val="00891CC4"/>
    <w:rsid w:val="00891D39"/>
    <w:rsid w:val="00891D84"/>
    <w:rsid w:val="008920A6"/>
    <w:rsid w:val="008922C4"/>
    <w:rsid w:val="00892EC9"/>
    <w:rsid w:val="00893E25"/>
    <w:rsid w:val="00893FFE"/>
    <w:rsid w:val="00894812"/>
    <w:rsid w:val="0089496B"/>
    <w:rsid w:val="00895ABA"/>
    <w:rsid w:val="00895EAD"/>
    <w:rsid w:val="008963DB"/>
    <w:rsid w:val="00896C38"/>
    <w:rsid w:val="00896E2F"/>
    <w:rsid w:val="00897772"/>
    <w:rsid w:val="00897EC2"/>
    <w:rsid w:val="008A05A0"/>
    <w:rsid w:val="008A0B68"/>
    <w:rsid w:val="008A174B"/>
    <w:rsid w:val="008A1A5C"/>
    <w:rsid w:val="008A2A69"/>
    <w:rsid w:val="008A2F00"/>
    <w:rsid w:val="008A371B"/>
    <w:rsid w:val="008A3741"/>
    <w:rsid w:val="008A3B86"/>
    <w:rsid w:val="008A3F44"/>
    <w:rsid w:val="008A3F4F"/>
    <w:rsid w:val="008A4A78"/>
    <w:rsid w:val="008A5078"/>
    <w:rsid w:val="008A51C0"/>
    <w:rsid w:val="008A587A"/>
    <w:rsid w:val="008A5C62"/>
    <w:rsid w:val="008A6036"/>
    <w:rsid w:val="008A6DC0"/>
    <w:rsid w:val="008A7BA8"/>
    <w:rsid w:val="008B07A3"/>
    <w:rsid w:val="008B0F92"/>
    <w:rsid w:val="008B11D5"/>
    <w:rsid w:val="008B15A9"/>
    <w:rsid w:val="008B19F6"/>
    <w:rsid w:val="008B1BC7"/>
    <w:rsid w:val="008B2043"/>
    <w:rsid w:val="008B2287"/>
    <w:rsid w:val="008B2476"/>
    <w:rsid w:val="008B2577"/>
    <w:rsid w:val="008B28EA"/>
    <w:rsid w:val="008B3B66"/>
    <w:rsid w:val="008B49E5"/>
    <w:rsid w:val="008B664E"/>
    <w:rsid w:val="008B6672"/>
    <w:rsid w:val="008B66D1"/>
    <w:rsid w:val="008B66D7"/>
    <w:rsid w:val="008B6A91"/>
    <w:rsid w:val="008B6AB1"/>
    <w:rsid w:val="008B7232"/>
    <w:rsid w:val="008B73D1"/>
    <w:rsid w:val="008B7970"/>
    <w:rsid w:val="008B7C48"/>
    <w:rsid w:val="008B7F02"/>
    <w:rsid w:val="008C0551"/>
    <w:rsid w:val="008C0DD8"/>
    <w:rsid w:val="008C17FE"/>
    <w:rsid w:val="008C1802"/>
    <w:rsid w:val="008C18DF"/>
    <w:rsid w:val="008C1F28"/>
    <w:rsid w:val="008C2972"/>
    <w:rsid w:val="008C2C7D"/>
    <w:rsid w:val="008C389E"/>
    <w:rsid w:val="008C3915"/>
    <w:rsid w:val="008C396E"/>
    <w:rsid w:val="008C3EBD"/>
    <w:rsid w:val="008C5400"/>
    <w:rsid w:val="008C5A10"/>
    <w:rsid w:val="008C5B07"/>
    <w:rsid w:val="008C6773"/>
    <w:rsid w:val="008C6812"/>
    <w:rsid w:val="008C6CA5"/>
    <w:rsid w:val="008C745A"/>
    <w:rsid w:val="008C7623"/>
    <w:rsid w:val="008D04D9"/>
    <w:rsid w:val="008D0813"/>
    <w:rsid w:val="008D0C01"/>
    <w:rsid w:val="008D1252"/>
    <w:rsid w:val="008D170E"/>
    <w:rsid w:val="008D1B89"/>
    <w:rsid w:val="008D27CC"/>
    <w:rsid w:val="008D28C8"/>
    <w:rsid w:val="008D297D"/>
    <w:rsid w:val="008D2B63"/>
    <w:rsid w:val="008D2C23"/>
    <w:rsid w:val="008D2C25"/>
    <w:rsid w:val="008D2EE7"/>
    <w:rsid w:val="008D2FE1"/>
    <w:rsid w:val="008D3065"/>
    <w:rsid w:val="008D3F2E"/>
    <w:rsid w:val="008D4DE3"/>
    <w:rsid w:val="008D5EE7"/>
    <w:rsid w:val="008D68AB"/>
    <w:rsid w:val="008D7613"/>
    <w:rsid w:val="008D7732"/>
    <w:rsid w:val="008D7787"/>
    <w:rsid w:val="008D7E5B"/>
    <w:rsid w:val="008D7FD5"/>
    <w:rsid w:val="008E0852"/>
    <w:rsid w:val="008E089D"/>
    <w:rsid w:val="008E0B51"/>
    <w:rsid w:val="008E0C69"/>
    <w:rsid w:val="008E156B"/>
    <w:rsid w:val="008E17E3"/>
    <w:rsid w:val="008E1A20"/>
    <w:rsid w:val="008E1D03"/>
    <w:rsid w:val="008E1E3A"/>
    <w:rsid w:val="008E1F0F"/>
    <w:rsid w:val="008E23F1"/>
    <w:rsid w:val="008E2A8F"/>
    <w:rsid w:val="008E31B0"/>
    <w:rsid w:val="008E325D"/>
    <w:rsid w:val="008E49AC"/>
    <w:rsid w:val="008E509B"/>
    <w:rsid w:val="008E616A"/>
    <w:rsid w:val="008E65B9"/>
    <w:rsid w:val="008E688C"/>
    <w:rsid w:val="008E6979"/>
    <w:rsid w:val="008E6E75"/>
    <w:rsid w:val="008E6EFC"/>
    <w:rsid w:val="008E7897"/>
    <w:rsid w:val="008E79C2"/>
    <w:rsid w:val="008F0651"/>
    <w:rsid w:val="008F0CEA"/>
    <w:rsid w:val="008F1D18"/>
    <w:rsid w:val="008F1DCA"/>
    <w:rsid w:val="008F202B"/>
    <w:rsid w:val="008F23C4"/>
    <w:rsid w:val="008F2B8D"/>
    <w:rsid w:val="008F31A0"/>
    <w:rsid w:val="008F34F9"/>
    <w:rsid w:val="008F3F91"/>
    <w:rsid w:val="008F4B78"/>
    <w:rsid w:val="008F5891"/>
    <w:rsid w:val="008F67B5"/>
    <w:rsid w:val="008F6D0D"/>
    <w:rsid w:val="008F6DCB"/>
    <w:rsid w:val="008F7371"/>
    <w:rsid w:val="0090007F"/>
    <w:rsid w:val="0090008A"/>
    <w:rsid w:val="00900E62"/>
    <w:rsid w:val="00901629"/>
    <w:rsid w:val="0090173E"/>
    <w:rsid w:val="00901794"/>
    <w:rsid w:val="009028D6"/>
    <w:rsid w:val="00902B4D"/>
    <w:rsid w:val="009031F4"/>
    <w:rsid w:val="00903AF8"/>
    <w:rsid w:val="00903F27"/>
    <w:rsid w:val="00904022"/>
    <w:rsid w:val="00904122"/>
    <w:rsid w:val="00904209"/>
    <w:rsid w:val="009042A0"/>
    <w:rsid w:val="00904402"/>
    <w:rsid w:val="0090442B"/>
    <w:rsid w:val="00904492"/>
    <w:rsid w:val="0090455D"/>
    <w:rsid w:val="009047BB"/>
    <w:rsid w:val="0090496A"/>
    <w:rsid w:val="0090513C"/>
    <w:rsid w:val="00905363"/>
    <w:rsid w:val="009058C7"/>
    <w:rsid w:val="009067C6"/>
    <w:rsid w:val="0090681E"/>
    <w:rsid w:val="0090689C"/>
    <w:rsid w:val="00906ECD"/>
    <w:rsid w:val="00907E94"/>
    <w:rsid w:val="009102EB"/>
    <w:rsid w:val="009106C5"/>
    <w:rsid w:val="0091148B"/>
    <w:rsid w:val="00911A2B"/>
    <w:rsid w:val="00914217"/>
    <w:rsid w:val="00914FDD"/>
    <w:rsid w:val="00915B01"/>
    <w:rsid w:val="00915F2A"/>
    <w:rsid w:val="00916791"/>
    <w:rsid w:val="00916D71"/>
    <w:rsid w:val="00917291"/>
    <w:rsid w:val="00917A35"/>
    <w:rsid w:val="00917AAC"/>
    <w:rsid w:val="00917BDA"/>
    <w:rsid w:val="009203AD"/>
    <w:rsid w:val="009209F0"/>
    <w:rsid w:val="00920DB7"/>
    <w:rsid w:val="00921754"/>
    <w:rsid w:val="00922CF2"/>
    <w:rsid w:val="00923BCA"/>
    <w:rsid w:val="009242C9"/>
    <w:rsid w:val="009248D2"/>
    <w:rsid w:val="00924B6D"/>
    <w:rsid w:val="00925285"/>
    <w:rsid w:val="009254B0"/>
    <w:rsid w:val="00925E2D"/>
    <w:rsid w:val="00925EC7"/>
    <w:rsid w:val="0092620E"/>
    <w:rsid w:val="0092690F"/>
    <w:rsid w:val="0092732A"/>
    <w:rsid w:val="00927465"/>
    <w:rsid w:val="009274C3"/>
    <w:rsid w:val="00927A33"/>
    <w:rsid w:val="00927E1C"/>
    <w:rsid w:val="00930DD3"/>
    <w:rsid w:val="00931113"/>
    <w:rsid w:val="00931B1F"/>
    <w:rsid w:val="00931B39"/>
    <w:rsid w:val="00931BE7"/>
    <w:rsid w:val="00931F48"/>
    <w:rsid w:val="0093260F"/>
    <w:rsid w:val="00932649"/>
    <w:rsid w:val="0093269E"/>
    <w:rsid w:val="00932A13"/>
    <w:rsid w:val="00932C95"/>
    <w:rsid w:val="00932DDB"/>
    <w:rsid w:val="00933406"/>
    <w:rsid w:val="0093347E"/>
    <w:rsid w:val="00933910"/>
    <w:rsid w:val="00933948"/>
    <w:rsid w:val="00934553"/>
    <w:rsid w:val="009345EA"/>
    <w:rsid w:val="00934B2A"/>
    <w:rsid w:val="0093505B"/>
    <w:rsid w:val="00935087"/>
    <w:rsid w:val="00935333"/>
    <w:rsid w:val="00935B67"/>
    <w:rsid w:val="00935D29"/>
    <w:rsid w:val="00935DD5"/>
    <w:rsid w:val="00935DEE"/>
    <w:rsid w:val="00936AD3"/>
    <w:rsid w:val="00936BBC"/>
    <w:rsid w:val="00937BDC"/>
    <w:rsid w:val="00940767"/>
    <w:rsid w:val="00940BBE"/>
    <w:rsid w:val="00940F58"/>
    <w:rsid w:val="00941C62"/>
    <w:rsid w:val="00941E9E"/>
    <w:rsid w:val="0094358D"/>
    <w:rsid w:val="00944A15"/>
    <w:rsid w:val="0094631D"/>
    <w:rsid w:val="0094689A"/>
    <w:rsid w:val="009476FD"/>
    <w:rsid w:val="00947ED5"/>
    <w:rsid w:val="0095057D"/>
    <w:rsid w:val="009511DC"/>
    <w:rsid w:val="00951848"/>
    <w:rsid w:val="009518CF"/>
    <w:rsid w:val="00951DB4"/>
    <w:rsid w:val="00952615"/>
    <w:rsid w:val="0095265D"/>
    <w:rsid w:val="00953215"/>
    <w:rsid w:val="00953342"/>
    <w:rsid w:val="009544DF"/>
    <w:rsid w:val="0095469B"/>
    <w:rsid w:val="0095469C"/>
    <w:rsid w:val="00954C43"/>
    <w:rsid w:val="00954DFA"/>
    <w:rsid w:val="00954FFD"/>
    <w:rsid w:val="00955712"/>
    <w:rsid w:val="00955736"/>
    <w:rsid w:val="009559E5"/>
    <w:rsid w:val="00955DC7"/>
    <w:rsid w:val="00955FD6"/>
    <w:rsid w:val="00955FED"/>
    <w:rsid w:val="009564BB"/>
    <w:rsid w:val="00956651"/>
    <w:rsid w:val="00956A27"/>
    <w:rsid w:val="00956F87"/>
    <w:rsid w:val="00956FE3"/>
    <w:rsid w:val="0095787F"/>
    <w:rsid w:val="009609B3"/>
    <w:rsid w:val="009612FD"/>
    <w:rsid w:val="0096135A"/>
    <w:rsid w:val="00961B6F"/>
    <w:rsid w:val="00961ECA"/>
    <w:rsid w:val="0096293A"/>
    <w:rsid w:val="00962CCB"/>
    <w:rsid w:val="00962D09"/>
    <w:rsid w:val="0096334D"/>
    <w:rsid w:val="009634CA"/>
    <w:rsid w:val="00963799"/>
    <w:rsid w:val="009639B6"/>
    <w:rsid w:val="00963F1A"/>
    <w:rsid w:val="009640FF"/>
    <w:rsid w:val="0096440B"/>
    <w:rsid w:val="009646E9"/>
    <w:rsid w:val="009649D5"/>
    <w:rsid w:val="0096504E"/>
    <w:rsid w:val="0096553D"/>
    <w:rsid w:val="00965737"/>
    <w:rsid w:val="00965CE6"/>
    <w:rsid w:val="009661DB"/>
    <w:rsid w:val="00966A22"/>
    <w:rsid w:val="009673AC"/>
    <w:rsid w:val="00967454"/>
    <w:rsid w:val="00970A54"/>
    <w:rsid w:val="00971984"/>
    <w:rsid w:val="00971CAC"/>
    <w:rsid w:val="009722BE"/>
    <w:rsid w:val="00972E44"/>
    <w:rsid w:val="00973119"/>
    <w:rsid w:val="00973242"/>
    <w:rsid w:val="009732FE"/>
    <w:rsid w:val="0097392F"/>
    <w:rsid w:val="00974093"/>
    <w:rsid w:val="00974107"/>
    <w:rsid w:val="00975083"/>
    <w:rsid w:val="00975609"/>
    <w:rsid w:val="00975A95"/>
    <w:rsid w:val="00975F38"/>
    <w:rsid w:val="009760C2"/>
    <w:rsid w:val="009765C2"/>
    <w:rsid w:val="0097682C"/>
    <w:rsid w:val="00976B40"/>
    <w:rsid w:val="00976B58"/>
    <w:rsid w:val="00977346"/>
    <w:rsid w:val="00977970"/>
    <w:rsid w:val="009779D2"/>
    <w:rsid w:val="00977EE2"/>
    <w:rsid w:val="0098074A"/>
    <w:rsid w:val="0098118E"/>
    <w:rsid w:val="009812C0"/>
    <w:rsid w:val="00981885"/>
    <w:rsid w:val="00981D5E"/>
    <w:rsid w:val="00981E09"/>
    <w:rsid w:val="00981F01"/>
    <w:rsid w:val="0098240F"/>
    <w:rsid w:val="0098275F"/>
    <w:rsid w:val="00983621"/>
    <w:rsid w:val="00983873"/>
    <w:rsid w:val="00983C47"/>
    <w:rsid w:val="00983C67"/>
    <w:rsid w:val="00983F15"/>
    <w:rsid w:val="009841E7"/>
    <w:rsid w:val="009843EB"/>
    <w:rsid w:val="00984B2D"/>
    <w:rsid w:val="00984C6F"/>
    <w:rsid w:val="00985420"/>
    <w:rsid w:val="00985AF9"/>
    <w:rsid w:val="00985D92"/>
    <w:rsid w:val="009864C9"/>
    <w:rsid w:val="009866DE"/>
    <w:rsid w:val="00986974"/>
    <w:rsid w:val="00986B9B"/>
    <w:rsid w:val="00986BA5"/>
    <w:rsid w:val="0098738D"/>
    <w:rsid w:val="00987992"/>
    <w:rsid w:val="009879A4"/>
    <w:rsid w:val="00987DBA"/>
    <w:rsid w:val="00987F9F"/>
    <w:rsid w:val="009915D9"/>
    <w:rsid w:val="009918DE"/>
    <w:rsid w:val="00991AD7"/>
    <w:rsid w:val="00991C62"/>
    <w:rsid w:val="00992008"/>
    <w:rsid w:val="00992446"/>
    <w:rsid w:val="00992646"/>
    <w:rsid w:val="00992C7F"/>
    <w:rsid w:val="00993100"/>
    <w:rsid w:val="00993141"/>
    <w:rsid w:val="0099314F"/>
    <w:rsid w:val="009932C5"/>
    <w:rsid w:val="0099350A"/>
    <w:rsid w:val="00993C15"/>
    <w:rsid w:val="00994677"/>
    <w:rsid w:val="00994C65"/>
    <w:rsid w:val="00995BE2"/>
    <w:rsid w:val="00995D11"/>
    <w:rsid w:val="00996705"/>
    <w:rsid w:val="00996F3B"/>
    <w:rsid w:val="00997616"/>
    <w:rsid w:val="0099771B"/>
    <w:rsid w:val="0099796D"/>
    <w:rsid w:val="009A0108"/>
    <w:rsid w:val="009A0686"/>
    <w:rsid w:val="009A0A42"/>
    <w:rsid w:val="009A0ED2"/>
    <w:rsid w:val="009A1496"/>
    <w:rsid w:val="009A2D2E"/>
    <w:rsid w:val="009A5006"/>
    <w:rsid w:val="009A5076"/>
    <w:rsid w:val="009A6020"/>
    <w:rsid w:val="009A652D"/>
    <w:rsid w:val="009A688C"/>
    <w:rsid w:val="009A6A15"/>
    <w:rsid w:val="009A733E"/>
    <w:rsid w:val="009A7351"/>
    <w:rsid w:val="009A7B57"/>
    <w:rsid w:val="009B0D41"/>
    <w:rsid w:val="009B1148"/>
    <w:rsid w:val="009B187D"/>
    <w:rsid w:val="009B1B0A"/>
    <w:rsid w:val="009B1BA2"/>
    <w:rsid w:val="009B24DC"/>
    <w:rsid w:val="009B2557"/>
    <w:rsid w:val="009B2C1F"/>
    <w:rsid w:val="009B2DE5"/>
    <w:rsid w:val="009B2E2F"/>
    <w:rsid w:val="009B472F"/>
    <w:rsid w:val="009B5384"/>
    <w:rsid w:val="009B590A"/>
    <w:rsid w:val="009B5940"/>
    <w:rsid w:val="009B66CB"/>
    <w:rsid w:val="009B6B36"/>
    <w:rsid w:val="009B6FC9"/>
    <w:rsid w:val="009B72EE"/>
    <w:rsid w:val="009B7640"/>
    <w:rsid w:val="009B79CD"/>
    <w:rsid w:val="009C0758"/>
    <w:rsid w:val="009C0ED7"/>
    <w:rsid w:val="009C14D7"/>
    <w:rsid w:val="009C2B3D"/>
    <w:rsid w:val="009C2FB8"/>
    <w:rsid w:val="009C326C"/>
    <w:rsid w:val="009C3544"/>
    <w:rsid w:val="009C3D63"/>
    <w:rsid w:val="009C4D7B"/>
    <w:rsid w:val="009C5281"/>
    <w:rsid w:val="009C52AA"/>
    <w:rsid w:val="009C564B"/>
    <w:rsid w:val="009C5BEA"/>
    <w:rsid w:val="009C5E7E"/>
    <w:rsid w:val="009C6470"/>
    <w:rsid w:val="009C6A40"/>
    <w:rsid w:val="009C6ECD"/>
    <w:rsid w:val="009C7796"/>
    <w:rsid w:val="009C79A4"/>
    <w:rsid w:val="009D061C"/>
    <w:rsid w:val="009D0665"/>
    <w:rsid w:val="009D0AE5"/>
    <w:rsid w:val="009D0BEF"/>
    <w:rsid w:val="009D0BFE"/>
    <w:rsid w:val="009D15CD"/>
    <w:rsid w:val="009D1F5B"/>
    <w:rsid w:val="009D2035"/>
    <w:rsid w:val="009D3835"/>
    <w:rsid w:val="009D3C4B"/>
    <w:rsid w:val="009D430C"/>
    <w:rsid w:val="009D4440"/>
    <w:rsid w:val="009D4924"/>
    <w:rsid w:val="009D4F6F"/>
    <w:rsid w:val="009D627B"/>
    <w:rsid w:val="009D65D0"/>
    <w:rsid w:val="009D6DCA"/>
    <w:rsid w:val="009D6F0A"/>
    <w:rsid w:val="009D7773"/>
    <w:rsid w:val="009D779F"/>
    <w:rsid w:val="009E078A"/>
    <w:rsid w:val="009E107B"/>
    <w:rsid w:val="009E11EF"/>
    <w:rsid w:val="009E1255"/>
    <w:rsid w:val="009E157B"/>
    <w:rsid w:val="009E1D33"/>
    <w:rsid w:val="009E1DB0"/>
    <w:rsid w:val="009E2416"/>
    <w:rsid w:val="009E282B"/>
    <w:rsid w:val="009E2915"/>
    <w:rsid w:val="009E2DC7"/>
    <w:rsid w:val="009E2E91"/>
    <w:rsid w:val="009E2EFA"/>
    <w:rsid w:val="009E35C4"/>
    <w:rsid w:val="009E3E3C"/>
    <w:rsid w:val="009E4558"/>
    <w:rsid w:val="009E4C62"/>
    <w:rsid w:val="009E4C79"/>
    <w:rsid w:val="009E4F27"/>
    <w:rsid w:val="009E70CB"/>
    <w:rsid w:val="009E75A3"/>
    <w:rsid w:val="009E7B09"/>
    <w:rsid w:val="009E7E94"/>
    <w:rsid w:val="009F04D5"/>
    <w:rsid w:val="009F0BE1"/>
    <w:rsid w:val="009F19C8"/>
    <w:rsid w:val="009F2880"/>
    <w:rsid w:val="009F2CE5"/>
    <w:rsid w:val="009F2FD2"/>
    <w:rsid w:val="009F3221"/>
    <w:rsid w:val="009F39AF"/>
    <w:rsid w:val="009F3C03"/>
    <w:rsid w:val="009F3D49"/>
    <w:rsid w:val="009F4138"/>
    <w:rsid w:val="009F42EF"/>
    <w:rsid w:val="009F4584"/>
    <w:rsid w:val="009F4907"/>
    <w:rsid w:val="009F4B61"/>
    <w:rsid w:val="009F4C16"/>
    <w:rsid w:val="009F50FE"/>
    <w:rsid w:val="009F5559"/>
    <w:rsid w:val="009F5E7F"/>
    <w:rsid w:val="009F625B"/>
    <w:rsid w:val="009F6940"/>
    <w:rsid w:val="009F6FD5"/>
    <w:rsid w:val="009F7EFD"/>
    <w:rsid w:val="00A002AD"/>
    <w:rsid w:val="00A0164E"/>
    <w:rsid w:val="00A022A9"/>
    <w:rsid w:val="00A0235E"/>
    <w:rsid w:val="00A02577"/>
    <w:rsid w:val="00A02A6D"/>
    <w:rsid w:val="00A02D5C"/>
    <w:rsid w:val="00A02EBA"/>
    <w:rsid w:val="00A03385"/>
    <w:rsid w:val="00A03493"/>
    <w:rsid w:val="00A0377D"/>
    <w:rsid w:val="00A03AF9"/>
    <w:rsid w:val="00A03E58"/>
    <w:rsid w:val="00A04413"/>
    <w:rsid w:val="00A04D0A"/>
    <w:rsid w:val="00A04EF7"/>
    <w:rsid w:val="00A0521A"/>
    <w:rsid w:val="00A05C0C"/>
    <w:rsid w:val="00A05CCE"/>
    <w:rsid w:val="00A06322"/>
    <w:rsid w:val="00A064DE"/>
    <w:rsid w:val="00A06BCA"/>
    <w:rsid w:val="00A07135"/>
    <w:rsid w:val="00A077CE"/>
    <w:rsid w:val="00A079D5"/>
    <w:rsid w:val="00A07E8E"/>
    <w:rsid w:val="00A10076"/>
    <w:rsid w:val="00A101E4"/>
    <w:rsid w:val="00A102A7"/>
    <w:rsid w:val="00A1069D"/>
    <w:rsid w:val="00A10823"/>
    <w:rsid w:val="00A110E0"/>
    <w:rsid w:val="00A112CD"/>
    <w:rsid w:val="00A11740"/>
    <w:rsid w:val="00A11901"/>
    <w:rsid w:val="00A11B88"/>
    <w:rsid w:val="00A120C2"/>
    <w:rsid w:val="00A12578"/>
    <w:rsid w:val="00A12630"/>
    <w:rsid w:val="00A126DA"/>
    <w:rsid w:val="00A1281E"/>
    <w:rsid w:val="00A12A8D"/>
    <w:rsid w:val="00A12B26"/>
    <w:rsid w:val="00A13166"/>
    <w:rsid w:val="00A13203"/>
    <w:rsid w:val="00A13B87"/>
    <w:rsid w:val="00A13F49"/>
    <w:rsid w:val="00A14273"/>
    <w:rsid w:val="00A14A83"/>
    <w:rsid w:val="00A14C17"/>
    <w:rsid w:val="00A156D4"/>
    <w:rsid w:val="00A15AA5"/>
    <w:rsid w:val="00A15ACE"/>
    <w:rsid w:val="00A15E99"/>
    <w:rsid w:val="00A15F20"/>
    <w:rsid w:val="00A161CC"/>
    <w:rsid w:val="00A164B7"/>
    <w:rsid w:val="00A1651C"/>
    <w:rsid w:val="00A16600"/>
    <w:rsid w:val="00A16A80"/>
    <w:rsid w:val="00A178A6"/>
    <w:rsid w:val="00A17B34"/>
    <w:rsid w:val="00A17C4B"/>
    <w:rsid w:val="00A17DDC"/>
    <w:rsid w:val="00A17DF2"/>
    <w:rsid w:val="00A200C1"/>
    <w:rsid w:val="00A2027D"/>
    <w:rsid w:val="00A202FC"/>
    <w:rsid w:val="00A2074B"/>
    <w:rsid w:val="00A21426"/>
    <w:rsid w:val="00A2155F"/>
    <w:rsid w:val="00A21BA6"/>
    <w:rsid w:val="00A22E96"/>
    <w:rsid w:val="00A236F1"/>
    <w:rsid w:val="00A23EE4"/>
    <w:rsid w:val="00A24166"/>
    <w:rsid w:val="00A24401"/>
    <w:rsid w:val="00A245EA"/>
    <w:rsid w:val="00A24622"/>
    <w:rsid w:val="00A24A39"/>
    <w:rsid w:val="00A253F8"/>
    <w:rsid w:val="00A259FF"/>
    <w:rsid w:val="00A25CCF"/>
    <w:rsid w:val="00A25DB4"/>
    <w:rsid w:val="00A25F5B"/>
    <w:rsid w:val="00A2612E"/>
    <w:rsid w:val="00A2696C"/>
    <w:rsid w:val="00A269B0"/>
    <w:rsid w:val="00A26EB6"/>
    <w:rsid w:val="00A26EF4"/>
    <w:rsid w:val="00A26F50"/>
    <w:rsid w:val="00A27016"/>
    <w:rsid w:val="00A27215"/>
    <w:rsid w:val="00A27737"/>
    <w:rsid w:val="00A278B7"/>
    <w:rsid w:val="00A27AF7"/>
    <w:rsid w:val="00A30E32"/>
    <w:rsid w:val="00A31349"/>
    <w:rsid w:val="00A31B09"/>
    <w:rsid w:val="00A32295"/>
    <w:rsid w:val="00A32869"/>
    <w:rsid w:val="00A32D91"/>
    <w:rsid w:val="00A333E0"/>
    <w:rsid w:val="00A33D9C"/>
    <w:rsid w:val="00A34A80"/>
    <w:rsid w:val="00A34AEB"/>
    <w:rsid w:val="00A34C40"/>
    <w:rsid w:val="00A3547B"/>
    <w:rsid w:val="00A36263"/>
    <w:rsid w:val="00A3653A"/>
    <w:rsid w:val="00A36AE7"/>
    <w:rsid w:val="00A36DBB"/>
    <w:rsid w:val="00A371ED"/>
    <w:rsid w:val="00A375A9"/>
    <w:rsid w:val="00A378C6"/>
    <w:rsid w:val="00A378E2"/>
    <w:rsid w:val="00A379A6"/>
    <w:rsid w:val="00A37AAE"/>
    <w:rsid w:val="00A37DD5"/>
    <w:rsid w:val="00A400F3"/>
    <w:rsid w:val="00A403B4"/>
    <w:rsid w:val="00A40CC4"/>
    <w:rsid w:val="00A41C48"/>
    <w:rsid w:val="00A42846"/>
    <w:rsid w:val="00A42C06"/>
    <w:rsid w:val="00A42DF2"/>
    <w:rsid w:val="00A42E9F"/>
    <w:rsid w:val="00A42EBA"/>
    <w:rsid w:val="00A438C4"/>
    <w:rsid w:val="00A43C02"/>
    <w:rsid w:val="00A447FF"/>
    <w:rsid w:val="00A44FCB"/>
    <w:rsid w:val="00A45248"/>
    <w:rsid w:val="00A45CE4"/>
    <w:rsid w:val="00A4630D"/>
    <w:rsid w:val="00A467D2"/>
    <w:rsid w:val="00A46CA1"/>
    <w:rsid w:val="00A472B2"/>
    <w:rsid w:val="00A477AB"/>
    <w:rsid w:val="00A478AB"/>
    <w:rsid w:val="00A47D64"/>
    <w:rsid w:val="00A5028F"/>
    <w:rsid w:val="00A5078E"/>
    <w:rsid w:val="00A50C74"/>
    <w:rsid w:val="00A50DF1"/>
    <w:rsid w:val="00A51681"/>
    <w:rsid w:val="00A52513"/>
    <w:rsid w:val="00A52A89"/>
    <w:rsid w:val="00A52C71"/>
    <w:rsid w:val="00A52FB3"/>
    <w:rsid w:val="00A532E4"/>
    <w:rsid w:val="00A537D1"/>
    <w:rsid w:val="00A5384A"/>
    <w:rsid w:val="00A53AD8"/>
    <w:rsid w:val="00A53C02"/>
    <w:rsid w:val="00A5419D"/>
    <w:rsid w:val="00A5462D"/>
    <w:rsid w:val="00A54844"/>
    <w:rsid w:val="00A554AB"/>
    <w:rsid w:val="00A55AAE"/>
    <w:rsid w:val="00A55FDB"/>
    <w:rsid w:val="00A560A5"/>
    <w:rsid w:val="00A56843"/>
    <w:rsid w:val="00A56868"/>
    <w:rsid w:val="00A57B25"/>
    <w:rsid w:val="00A60520"/>
    <w:rsid w:val="00A60778"/>
    <w:rsid w:val="00A607BC"/>
    <w:rsid w:val="00A608BD"/>
    <w:rsid w:val="00A60A76"/>
    <w:rsid w:val="00A60DC2"/>
    <w:rsid w:val="00A60F5C"/>
    <w:rsid w:val="00A61157"/>
    <w:rsid w:val="00A6179B"/>
    <w:rsid w:val="00A6259D"/>
    <w:rsid w:val="00A627B8"/>
    <w:rsid w:val="00A627FC"/>
    <w:rsid w:val="00A62B70"/>
    <w:rsid w:val="00A6397C"/>
    <w:rsid w:val="00A63AD9"/>
    <w:rsid w:val="00A64545"/>
    <w:rsid w:val="00A646CE"/>
    <w:rsid w:val="00A64DA8"/>
    <w:rsid w:val="00A64F4D"/>
    <w:rsid w:val="00A64F9C"/>
    <w:rsid w:val="00A650E7"/>
    <w:rsid w:val="00A65C9F"/>
    <w:rsid w:val="00A65F58"/>
    <w:rsid w:val="00A671CD"/>
    <w:rsid w:val="00A67540"/>
    <w:rsid w:val="00A676F9"/>
    <w:rsid w:val="00A67D13"/>
    <w:rsid w:val="00A70123"/>
    <w:rsid w:val="00A70218"/>
    <w:rsid w:val="00A70586"/>
    <w:rsid w:val="00A71004"/>
    <w:rsid w:val="00A714D6"/>
    <w:rsid w:val="00A71ADC"/>
    <w:rsid w:val="00A7209E"/>
    <w:rsid w:val="00A72816"/>
    <w:rsid w:val="00A7288C"/>
    <w:rsid w:val="00A72B4E"/>
    <w:rsid w:val="00A7304F"/>
    <w:rsid w:val="00A73242"/>
    <w:rsid w:val="00A74007"/>
    <w:rsid w:val="00A74187"/>
    <w:rsid w:val="00A7428A"/>
    <w:rsid w:val="00A7498E"/>
    <w:rsid w:val="00A76BC6"/>
    <w:rsid w:val="00A77878"/>
    <w:rsid w:val="00A77DAA"/>
    <w:rsid w:val="00A803C9"/>
    <w:rsid w:val="00A8132E"/>
    <w:rsid w:val="00A827FF"/>
    <w:rsid w:val="00A83028"/>
    <w:rsid w:val="00A83C98"/>
    <w:rsid w:val="00A84391"/>
    <w:rsid w:val="00A85400"/>
    <w:rsid w:val="00A85669"/>
    <w:rsid w:val="00A85F2D"/>
    <w:rsid w:val="00A8685F"/>
    <w:rsid w:val="00A86E7A"/>
    <w:rsid w:val="00A874DF"/>
    <w:rsid w:val="00A87ACA"/>
    <w:rsid w:val="00A90F32"/>
    <w:rsid w:val="00A92276"/>
    <w:rsid w:val="00A9278E"/>
    <w:rsid w:val="00A927AC"/>
    <w:rsid w:val="00A930BA"/>
    <w:rsid w:val="00A93364"/>
    <w:rsid w:val="00A94785"/>
    <w:rsid w:val="00A947E6"/>
    <w:rsid w:val="00A94831"/>
    <w:rsid w:val="00A9499F"/>
    <w:rsid w:val="00A95243"/>
    <w:rsid w:val="00A95358"/>
    <w:rsid w:val="00A953C9"/>
    <w:rsid w:val="00A9565B"/>
    <w:rsid w:val="00A96232"/>
    <w:rsid w:val="00A963F9"/>
    <w:rsid w:val="00A9676E"/>
    <w:rsid w:val="00A96CB9"/>
    <w:rsid w:val="00A97B11"/>
    <w:rsid w:val="00A97D07"/>
    <w:rsid w:val="00A97D55"/>
    <w:rsid w:val="00AA130A"/>
    <w:rsid w:val="00AA1347"/>
    <w:rsid w:val="00AA3239"/>
    <w:rsid w:val="00AA422F"/>
    <w:rsid w:val="00AA532C"/>
    <w:rsid w:val="00AA5609"/>
    <w:rsid w:val="00AA56F5"/>
    <w:rsid w:val="00AA5EBB"/>
    <w:rsid w:val="00AA613A"/>
    <w:rsid w:val="00AA6571"/>
    <w:rsid w:val="00AA6ADD"/>
    <w:rsid w:val="00AA78C4"/>
    <w:rsid w:val="00AB0042"/>
    <w:rsid w:val="00AB0A4C"/>
    <w:rsid w:val="00AB0A5A"/>
    <w:rsid w:val="00AB0DC8"/>
    <w:rsid w:val="00AB0F5E"/>
    <w:rsid w:val="00AB0FA8"/>
    <w:rsid w:val="00AB1466"/>
    <w:rsid w:val="00AB2084"/>
    <w:rsid w:val="00AB3133"/>
    <w:rsid w:val="00AB3654"/>
    <w:rsid w:val="00AB394A"/>
    <w:rsid w:val="00AB3AFA"/>
    <w:rsid w:val="00AB4AE2"/>
    <w:rsid w:val="00AB519F"/>
    <w:rsid w:val="00AB55F0"/>
    <w:rsid w:val="00AB5FA8"/>
    <w:rsid w:val="00AB6782"/>
    <w:rsid w:val="00AB6A4F"/>
    <w:rsid w:val="00AB7856"/>
    <w:rsid w:val="00AB7C21"/>
    <w:rsid w:val="00AC02F3"/>
    <w:rsid w:val="00AC09F1"/>
    <w:rsid w:val="00AC0EF3"/>
    <w:rsid w:val="00AC1025"/>
    <w:rsid w:val="00AC11B9"/>
    <w:rsid w:val="00AC1950"/>
    <w:rsid w:val="00AC19EE"/>
    <w:rsid w:val="00AC1B6C"/>
    <w:rsid w:val="00AC1F4E"/>
    <w:rsid w:val="00AC2071"/>
    <w:rsid w:val="00AC20DC"/>
    <w:rsid w:val="00AC2B6E"/>
    <w:rsid w:val="00AC38D7"/>
    <w:rsid w:val="00AC3DBA"/>
    <w:rsid w:val="00AC3FAC"/>
    <w:rsid w:val="00AC44D1"/>
    <w:rsid w:val="00AC4A5D"/>
    <w:rsid w:val="00AC4C29"/>
    <w:rsid w:val="00AC501D"/>
    <w:rsid w:val="00AC50FE"/>
    <w:rsid w:val="00AC523A"/>
    <w:rsid w:val="00AC558A"/>
    <w:rsid w:val="00AC559A"/>
    <w:rsid w:val="00AC5703"/>
    <w:rsid w:val="00AC58B5"/>
    <w:rsid w:val="00AC68A9"/>
    <w:rsid w:val="00AC6B07"/>
    <w:rsid w:val="00AC6D10"/>
    <w:rsid w:val="00AC715D"/>
    <w:rsid w:val="00AC739F"/>
    <w:rsid w:val="00AC78D1"/>
    <w:rsid w:val="00AC78D4"/>
    <w:rsid w:val="00AD0126"/>
    <w:rsid w:val="00AD030F"/>
    <w:rsid w:val="00AD04ED"/>
    <w:rsid w:val="00AD08B6"/>
    <w:rsid w:val="00AD11A7"/>
    <w:rsid w:val="00AD17A3"/>
    <w:rsid w:val="00AD18B4"/>
    <w:rsid w:val="00AD1AE2"/>
    <w:rsid w:val="00AD2226"/>
    <w:rsid w:val="00AD22A7"/>
    <w:rsid w:val="00AD2562"/>
    <w:rsid w:val="00AD27CF"/>
    <w:rsid w:val="00AD30DB"/>
    <w:rsid w:val="00AD3446"/>
    <w:rsid w:val="00AD34C1"/>
    <w:rsid w:val="00AD3677"/>
    <w:rsid w:val="00AD36E3"/>
    <w:rsid w:val="00AD3DE3"/>
    <w:rsid w:val="00AD498F"/>
    <w:rsid w:val="00AD4A59"/>
    <w:rsid w:val="00AD4C91"/>
    <w:rsid w:val="00AD4CA6"/>
    <w:rsid w:val="00AD4F35"/>
    <w:rsid w:val="00AD5055"/>
    <w:rsid w:val="00AD50EC"/>
    <w:rsid w:val="00AD52A3"/>
    <w:rsid w:val="00AD5C74"/>
    <w:rsid w:val="00AD5D52"/>
    <w:rsid w:val="00AD673C"/>
    <w:rsid w:val="00AD6881"/>
    <w:rsid w:val="00AD736A"/>
    <w:rsid w:val="00AD7555"/>
    <w:rsid w:val="00AD75E4"/>
    <w:rsid w:val="00AD76EF"/>
    <w:rsid w:val="00AD78A6"/>
    <w:rsid w:val="00AE0785"/>
    <w:rsid w:val="00AE09D6"/>
    <w:rsid w:val="00AE0D8B"/>
    <w:rsid w:val="00AE0D90"/>
    <w:rsid w:val="00AE1530"/>
    <w:rsid w:val="00AE15F7"/>
    <w:rsid w:val="00AE2278"/>
    <w:rsid w:val="00AE263A"/>
    <w:rsid w:val="00AE2F25"/>
    <w:rsid w:val="00AE3988"/>
    <w:rsid w:val="00AE41DF"/>
    <w:rsid w:val="00AE43B8"/>
    <w:rsid w:val="00AE45DD"/>
    <w:rsid w:val="00AE50C4"/>
    <w:rsid w:val="00AE522A"/>
    <w:rsid w:val="00AE5266"/>
    <w:rsid w:val="00AE57EF"/>
    <w:rsid w:val="00AE5E35"/>
    <w:rsid w:val="00AE6A02"/>
    <w:rsid w:val="00AE6A0E"/>
    <w:rsid w:val="00AE6B7F"/>
    <w:rsid w:val="00AE6B8F"/>
    <w:rsid w:val="00AE6DC0"/>
    <w:rsid w:val="00AE7688"/>
    <w:rsid w:val="00AF0B75"/>
    <w:rsid w:val="00AF0CC2"/>
    <w:rsid w:val="00AF0F4B"/>
    <w:rsid w:val="00AF1044"/>
    <w:rsid w:val="00AF146C"/>
    <w:rsid w:val="00AF1926"/>
    <w:rsid w:val="00AF1961"/>
    <w:rsid w:val="00AF1DED"/>
    <w:rsid w:val="00AF224B"/>
    <w:rsid w:val="00AF2266"/>
    <w:rsid w:val="00AF36E0"/>
    <w:rsid w:val="00AF38FC"/>
    <w:rsid w:val="00AF3EFB"/>
    <w:rsid w:val="00AF3F96"/>
    <w:rsid w:val="00AF4750"/>
    <w:rsid w:val="00AF49A6"/>
    <w:rsid w:val="00AF4AB2"/>
    <w:rsid w:val="00AF5028"/>
    <w:rsid w:val="00AF5799"/>
    <w:rsid w:val="00AF594E"/>
    <w:rsid w:val="00AF5D77"/>
    <w:rsid w:val="00AF6EBE"/>
    <w:rsid w:val="00AF7513"/>
    <w:rsid w:val="00AF7ADE"/>
    <w:rsid w:val="00AF7C29"/>
    <w:rsid w:val="00B00315"/>
    <w:rsid w:val="00B00CE9"/>
    <w:rsid w:val="00B00FE0"/>
    <w:rsid w:val="00B01048"/>
    <w:rsid w:val="00B010D4"/>
    <w:rsid w:val="00B012FF"/>
    <w:rsid w:val="00B01763"/>
    <w:rsid w:val="00B01DC3"/>
    <w:rsid w:val="00B0247A"/>
    <w:rsid w:val="00B0328B"/>
    <w:rsid w:val="00B03833"/>
    <w:rsid w:val="00B03F99"/>
    <w:rsid w:val="00B042B8"/>
    <w:rsid w:val="00B04E9A"/>
    <w:rsid w:val="00B051BF"/>
    <w:rsid w:val="00B05ACA"/>
    <w:rsid w:val="00B05F54"/>
    <w:rsid w:val="00B064F6"/>
    <w:rsid w:val="00B06599"/>
    <w:rsid w:val="00B06644"/>
    <w:rsid w:val="00B066D0"/>
    <w:rsid w:val="00B07AA4"/>
    <w:rsid w:val="00B07C27"/>
    <w:rsid w:val="00B1016E"/>
    <w:rsid w:val="00B11E09"/>
    <w:rsid w:val="00B11F8B"/>
    <w:rsid w:val="00B12111"/>
    <w:rsid w:val="00B128E9"/>
    <w:rsid w:val="00B12C34"/>
    <w:rsid w:val="00B12C57"/>
    <w:rsid w:val="00B13247"/>
    <w:rsid w:val="00B1358C"/>
    <w:rsid w:val="00B139C7"/>
    <w:rsid w:val="00B13B61"/>
    <w:rsid w:val="00B13FEB"/>
    <w:rsid w:val="00B14B35"/>
    <w:rsid w:val="00B14B3E"/>
    <w:rsid w:val="00B15C15"/>
    <w:rsid w:val="00B15CEA"/>
    <w:rsid w:val="00B16B94"/>
    <w:rsid w:val="00B16D8D"/>
    <w:rsid w:val="00B16F75"/>
    <w:rsid w:val="00B17875"/>
    <w:rsid w:val="00B17D65"/>
    <w:rsid w:val="00B20AB4"/>
    <w:rsid w:val="00B20CBB"/>
    <w:rsid w:val="00B20F66"/>
    <w:rsid w:val="00B212C4"/>
    <w:rsid w:val="00B2134A"/>
    <w:rsid w:val="00B21972"/>
    <w:rsid w:val="00B21BAE"/>
    <w:rsid w:val="00B22433"/>
    <w:rsid w:val="00B226A4"/>
    <w:rsid w:val="00B2283F"/>
    <w:rsid w:val="00B228A8"/>
    <w:rsid w:val="00B229B9"/>
    <w:rsid w:val="00B2303D"/>
    <w:rsid w:val="00B232EB"/>
    <w:rsid w:val="00B23482"/>
    <w:rsid w:val="00B2389B"/>
    <w:rsid w:val="00B2399C"/>
    <w:rsid w:val="00B23A3C"/>
    <w:rsid w:val="00B23B9E"/>
    <w:rsid w:val="00B242FB"/>
    <w:rsid w:val="00B245FC"/>
    <w:rsid w:val="00B249FA"/>
    <w:rsid w:val="00B24EF9"/>
    <w:rsid w:val="00B255AC"/>
    <w:rsid w:val="00B256B0"/>
    <w:rsid w:val="00B25DD4"/>
    <w:rsid w:val="00B26944"/>
    <w:rsid w:val="00B27894"/>
    <w:rsid w:val="00B279A6"/>
    <w:rsid w:val="00B27AAF"/>
    <w:rsid w:val="00B27E62"/>
    <w:rsid w:val="00B27E83"/>
    <w:rsid w:val="00B304F1"/>
    <w:rsid w:val="00B309E9"/>
    <w:rsid w:val="00B31CC5"/>
    <w:rsid w:val="00B3201A"/>
    <w:rsid w:val="00B32796"/>
    <w:rsid w:val="00B32808"/>
    <w:rsid w:val="00B32849"/>
    <w:rsid w:val="00B3302D"/>
    <w:rsid w:val="00B330BA"/>
    <w:rsid w:val="00B33658"/>
    <w:rsid w:val="00B33707"/>
    <w:rsid w:val="00B33CF8"/>
    <w:rsid w:val="00B343CF"/>
    <w:rsid w:val="00B351B5"/>
    <w:rsid w:val="00B35854"/>
    <w:rsid w:val="00B359B5"/>
    <w:rsid w:val="00B35D4D"/>
    <w:rsid w:val="00B36046"/>
    <w:rsid w:val="00B3640F"/>
    <w:rsid w:val="00B3653B"/>
    <w:rsid w:val="00B36D3A"/>
    <w:rsid w:val="00B36DAA"/>
    <w:rsid w:val="00B36F3C"/>
    <w:rsid w:val="00B372C4"/>
    <w:rsid w:val="00B375BC"/>
    <w:rsid w:val="00B37CC8"/>
    <w:rsid w:val="00B40CF2"/>
    <w:rsid w:val="00B40F16"/>
    <w:rsid w:val="00B41402"/>
    <w:rsid w:val="00B41684"/>
    <w:rsid w:val="00B41ABB"/>
    <w:rsid w:val="00B41C37"/>
    <w:rsid w:val="00B41FAD"/>
    <w:rsid w:val="00B43336"/>
    <w:rsid w:val="00B4386E"/>
    <w:rsid w:val="00B43A55"/>
    <w:rsid w:val="00B43DFB"/>
    <w:rsid w:val="00B44D73"/>
    <w:rsid w:val="00B453B3"/>
    <w:rsid w:val="00B45F3F"/>
    <w:rsid w:val="00B46D15"/>
    <w:rsid w:val="00B47BA6"/>
    <w:rsid w:val="00B47D7B"/>
    <w:rsid w:val="00B5043D"/>
    <w:rsid w:val="00B509EC"/>
    <w:rsid w:val="00B50FA6"/>
    <w:rsid w:val="00B515DB"/>
    <w:rsid w:val="00B51975"/>
    <w:rsid w:val="00B51AEF"/>
    <w:rsid w:val="00B51AF4"/>
    <w:rsid w:val="00B5214E"/>
    <w:rsid w:val="00B524EF"/>
    <w:rsid w:val="00B52F09"/>
    <w:rsid w:val="00B532E6"/>
    <w:rsid w:val="00B532F5"/>
    <w:rsid w:val="00B534D4"/>
    <w:rsid w:val="00B537F9"/>
    <w:rsid w:val="00B538E2"/>
    <w:rsid w:val="00B53CCB"/>
    <w:rsid w:val="00B53E44"/>
    <w:rsid w:val="00B5437A"/>
    <w:rsid w:val="00B5483A"/>
    <w:rsid w:val="00B54EBA"/>
    <w:rsid w:val="00B552C7"/>
    <w:rsid w:val="00B552E3"/>
    <w:rsid w:val="00B557D9"/>
    <w:rsid w:val="00B559E2"/>
    <w:rsid w:val="00B56452"/>
    <w:rsid w:val="00B56977"/>
    <w:rsid w:val="00B57298"/>
    <w:rsid w:val="00B5752C"/>
    <w:rsid w:val="00B579C1"/>
    <w:rsid w:val="00B579EB"/>
    <w:rsid w:val="00B57A7A"/>
    <w:rsid w:val="00B57EE8"/>
    <w:rsid w:val="00B61096"/>
    <w:rsid w:val="00B616BE"/>
    <w:rsid w:val="00B61F13"/>
    <w:rsid w:val="00B6217A"/>
    <w:rsid w:val="00B62725"/>
    <w:rsid w:val="00B627B7"/>
    <w:rsid w:val="00B62FC5"/>
    <w:rsid w:val="00B63276"/>
    <w:rsid w:val="00B63546"/>
    <w:rsid w:val="00B6355A"/>
    <w:rsid w:val="00B63C68"/>
    <w:rsid w:val="00B63DE5"/>
    <w:rsid w:val="00B63ED1"/>
    <w:rsid w:val="00B63EE3"/>
    <w:rsid w:val="00B64362"/>
    <w:rsid w:val="00B644C0"/>
    <w:rsid w:val="00B6482C"/>
    <w:rsid w:val="00B6482E"/>
    <w:rsid w:val="00B64996"/>
    <w:rsid w:val="00B6506F"/>
    <w:rsid w:val="00B65257"/>
    <w:rsid w:val="00B65282"/>
    <w:rsid w:val="00B652B7"/>
    <w:rsid w:val="00B655B5"/>
    <w:rsid w:val="00B655D2"/>
    <w:rsid w:val="00B6656D"/>
    <w:rsid w:val="00B67A6F"/>
    <w:rsid w:val="00B67F91"/>
    <w:rsid w:val="00B70011"/>
    <w:rsid w:val="00B70170"/>
    <w:rsid w:val="00B7044B"/>
    <w:rsid w:val="00B7087F"/>
    <w:rsid w:val="00B70E98"/>
    <w:rsid w:val="00B70EC7"/>
    <w:rsid w:val="00B7181D"/>
    <w:rsid w:val="00B71A44"/>
    <w:rsid w:val="00B71CE8"/>
    <w:rsid w:val="00B7226D"/>
    <w:rsid w:val="00B727C6"/>
    <w:rsid w:val="00B7341B"/>
    <w:rsid w:val="00B73B5D"/>
    <w:rsid w:val="00B73D98"/>
    <w:rsid w:val="00B73FED"/>
    <w:rsid w:val="00B74164"/>
    <w:rsid w:val="00B74310"/>
    <w:rsid w:val="00B74701"/>
    <w:rsid w:val="00B74B50"/>
    <w:rsid w:val="00B74B6C"/>
    <w:rsid w:val="00B752EC"/>
    <w:rsid w:val="00B753E2"/>
    <w:rsid w:val="00B75A4F"/>
    <w:rsid w:val="00B7679A"/>
    <w:rsid w:val="00B76F6D"/>
    <w:rsid w:val="00B77B4C"/>
    <w:rsid w:val="00B77F9F"/>
    <w:rsid w:val="00B803F2"/>
    <w:rsid w:val="00B8047E"/>
    <w:rsid w:val="00B80FD6"/>
    <w:rsid w:val="00B811E6"/>
    <w:rsid w:val="00B818D5"/>
    <w:rsid w:val="00B81AE8"/>
    <w:rsid w:val="00B81D04"/>
    <w:rsid w:val="00B81E16"/>
    <w:rsid w:val="00B81F7C"/>
    <w:rsid w:val="00B820F7"/>
    <w:rsid w:val="00B82735"/>
    <w:rsid w:val="00B828AC"/>
    <w:rsid w:val="00B829DE"/>
    <w:rsid w:val="00B82EC3"/>
    <w:rsid w:val="00B831E3"/>
    <w:rsid w:val="00B8484B"/>
    <w:rsid w:val="00B855A3"/>
    <w:rsid w:val="00B85CC7"/>
    <w:rsid w:val="00B862A8"/>
    <w:rsid w:val="00B86361"/>
    <w:rsid w:val="00B8670D"/>
    <w:rsid w:val="00B867A9"/>
    <w:rsid w:val="00B86C75"/>
    <w:rsid w:val="00B87267"/>
    <w:rsid w:val="00B87931"/>
    <w:rsid w:val="00B87B46"/>
    <w:rsid w:val="00B87B6A"/>
    <w:rsid w:val="00B87E71"/>
    <w:rsid w:val="00B87FB1"/>
    <w:rsid w:val="00B87FFD"/>
    <w:rsid w:val="00B902D6"/>
    <w:rsid w:val="00B9032F"/>
    <w:rsid w:val="00B90A59"/>
    <w:rsid w:val="00B90DA9"/>
    <w:rsid w:val="00B91B48"/>
    <w:rsid w:val="00B9258A"/>
    <w:rsid w:val="00B92CD1"/>
    <w:rsid w:val="00B92D87"/>
    <w:rsid w:val="00B932D0"/>
    <w:rsid w:val="00B93DCE"/>
    <w:rsid w:val="00B9407B"/>
    <w:rsid w:val="00B94085"/>
    <w:rsid w:val="00B948C5"/>
    <w:rsid w:val="00B948FF"/>
    <w:rsid w:val="00B94D5D"/>
    <w:rsid w:val="00B9527C"/>
    <w:rsid w:val="00B9536F"/>
    <w:rsid w:val="00B96338"/>
    <w:rsid w:val="00B964BC"/>
    <w:rsid w:val="00B965CF"/>
    <w:rsid w:val="00B97111"/>
    <w:rsid w:val="00B974D2"/>
    <w:rsid w:val="00B975FE"/>
    <w:rsid w:val="00B9769D"/>
    <w:rsid w:val="00B97C2D"/>
    <w:rsid w:val="00BA0248"/>
    <w:rsid w:val="00BA044F"/>
    <w:rsid w:val="00BA0AC2"/>
    <w:rsid w:val="00BA0ACF"/>
    <w:rsid w:val="00BA0C64"/>
    <w:rsid w:val="00BA0C80"/>
    <w:rsid w:val="00BA0FA5"/>
    <w:rsid w:val="00BA1D33"/>
    <w:rsid w:val="00BA23FD"/>
    <w:rsid w:val="00BA29CB"/>
    <w:rsid w:val="00BA2B87"/>
    <w:rsid w:val="00BA405E"/>
    <w:rsid w:val="00BA450E"/>
    <w:rsid w:val="00BA4645"/>
    <w:rsid w:val="00BA4F9C"/>
    <w:rsid w:val="00BA5311"/>
    <w:rsid w:val="00BA5356"/>
    <w:rsid w:val="00BA5E06"/>
    <w:rsid w:val="00BA6318"/>
    <w:rsid w:val="00BA68BF"/>
    <w:rsid w:val="00BA6A2C"/>
    <w:rsid w:val="00BA6D87"/>
    <w:rsid w:val="00BA721D"/>
    <w:rsid w:val="00BB02A2"/>
    <w:rsid w:val="00BB1382"/>
    <w:rsid w:val="00BB13A6"/>
    <w:rsid w:val="00BB1616"/>
    <w:rsid w:val="00BB1629"/>
    <w:rsid w:val="00BB17BE"/>
    <w:rsid w:val="00BB234A"/>
    <w:rsid w:val="00BB242C"/>
    <w:rsid w:val="00BB27C4"/>
    <w:rsid w:val="00BB28DC"/>
    <w:rsid w:val="00BB344D"/>
    <w:rsid w:val="00BB422D"/>
    <w:rsid w:val="00BB52F8"/>
    <w:rsid w:val="00BB53C7"/>
    <w:rsid w:val="00BB5BCB"/>
    <w:rsid w:val="00BB5C70"/>
    <w:rsid w:val="00BB5DFF"/>
    <w:rsid w:val="00BB5FD3"/>
    <w:rsid w:val="00BB6042"/>
    <w:rsid w:val="00BB6126"/>
    <w:rsid w:val="00BB665D"/>
    <w:rsid w:val="00BB6D08"/>
    <w:rsid w:val="00BB6D76"/>
    <w:rsid w:val="00BB6E93"/>
    <w:rsid w:val="00BB72D8"/>
    <w:rsid w:val="00BB7418"/>
    <w:rsid w:val="00BB747F"/>
    <w:rsid w:val="00BB7597"/>
    <w:rsid w:val="00BB769C"/>
    <w:rsid w:val="00BB7DB8"/>
    <w:rsid w:val="00BC014B"/>
    <w:rsid w:val="00BC03DB"/>
    <w:rsid w:val="00BC0E87"/>
    <w:rsid w:val="00BC0FBE"/>
    <w:rsid w:val="00BC1FC4"/>
    <w:rsid w:val="00BC2305"/>
    <w:rsid w:val="00BC244E"/>
    <w:rsid w:val="00BC2AB6"/>
    <w:rsid w:val="00BC30FE"/>
    <w:rsid w:val="00BC3A7C"/>
    <w:rsid w:val="00BC438B"/>
    <w:rsid w:val="00BC52C1"/>
    <w:rsid w:val="00BC57D2"/>
    <w:rsid w:val="00BC5B23"/>
    <w:rsid w:val="00BC5CF8"/>
    <w:rsid w:val="00BC60B8"/>
    <w:rsid w:val="00BC6408"/>
    <w:rsid w:val="00BC7EE6"/>
    <w:rsid w:val="00BD054A"/>
    <w:rsid w:val="00BD0C39"/>
    <w:rsid w:val="00BD1E85"/>
    <w:rsid w:val="00BD1F60"/>
    <w:rsid w:val="00BD2398"/>
    <w:rsid w:val="00BD29FD"/>
    <w:rsid w:val="00BD2FB9"/>
    <w:rsid w:val="00BD2FF0"/>
    <w:rsid w:val="00BD338D"/>
    <w:rsid w:val="00BD3613"/>
    <w:rsid w:val="00BD45D8"/>
    <w:rsid w:val="00BD46B9"/>
    <w:rsid w:val="00BD4914"/>
    <w:rsid w:val="00BD4E57"/>
    <w:rsid w:val="00BD53E2"/>
    <w:rsid w:val="00BD587B"/>
    <w:rsid w:val="00BD6966"/>
    <w:rsid w:val="00BD6FC3"/>
    <w:rsid w:val="00BD7336"/>
    <w:rsid w:val="00BD7548"/>
    <w:rsid w:val="00BD7A44"/>
    <w:rsid w:val="00BD7E48"/>
    <w:rsid w:val="00BE005B"/>
    <w:rsid w:val="00BE0106"/>
    <w:rsid w:val="00BE012D"/>
    <w:rsid w:val="00BE020F"/>
    <w:rsid w:val="00BE0829"/>
    <w:rsid w:val="00BE0B78"/>
    <w:rsid w:val="00BE2239"/>
    <w:rsid w:val="00BE255D"/>
    <w:rsid w:val="00BE2E52"/>
    <w:rsid w:val="00BE3699"/>
    <w:rsid w:val="00BE37E1"/>
    <w:rsid w:val="00BE421A"/>
    <w:rsid w:val="00BE4622"/>
    <w:rsid w:val="00BE4AF3"/>
    <w:rsid w:val="00BE536F"/>
    <w:rsid w:val="00BE5675"/>
    <w:rsid w:val="00BE5EC3"/>
    <w:rsid w:val="00BE5ECC"/>
    <w:rsid w:val="00BE5FA5"/>
    <w:rsid w:val="00BE61C2"/>
    <w:rsid w:val="00BE6665"/>
    <w:rsid w:val="00BE6CF0"/>
    <w:rsid w:val="00BE6E92"/>
    <w:rsid w:val="00BE75C9"/>
    <w:rsid w:val="00BE75CD"/>
    <w:rsid w:val="00BE79AC"/>
    <w:rsid w:val="00BE7DBF"/>
    <w:rsid w:val="00BE7EE0"/>
    <w:rsid w:val="00BF014E"/>
    <w:rsid w:val="00BF0ACA"/>
    <w:rsid w:val="00BF0C42"/>
    <w:rsid w:val="00BF0D9C"/>
    <w:rsid w:val="00BF0DC4"/>
    <w:rsid w:val="00BF1054"/>
    <w:rsid w:val="00BF14ED"/>
    <w:rsid w:val="00BF16B1"/>
    <w:rsid w:val="00BF16D4"/>
    <w:rsid w:val="00BF423D"/>
    <w:rsid w:val="00BF4D34"/>
    <w:rsid w:val="00BF5ACE"/>
    <w:rsid w:val="00BF6003"/>
    <w:rsid w:val="00BF670A"/>
    <w:rsid w:val="00BF6CBA"/>
    <w:rsid w:val="00BF73E2"/>
    <w:rsid w:val="00C00219"/>
    <w:rsid w:val="00C0031D"/>
    <w:rsid w:val="00C00F52"/>
    <w:rsid w:val="00C01B1F"/>
    <w:rsid w:val="00C02B68"/>
    <w:rsid w:val="00C03267"/>
    <w:rsid w:val="00C03BEF"/>
    <w:rsid w:val="00C0416A"/>
    <w:rsid w:val="00C041D9"/>
    <w:rsid w:val="00C0433C"/>
    <w:rsid w:val="00C05889"/>
    <w:rsid w:val="00C05A71"/>
    <w:rsid w:val="00C05AAE"/>
    <w:rsid w:val="00C06655"/>
    <w:rsid w:val="00C06882"/>
    <w:rsid w:val="00C06D9D"/>
    <w:rsid w:val="00C07423"/>
    <w:rsid w:val="00C07DB3"/>
    <w:rsid w:val="00C07FBF"/>
    <w:rsid w:val="00C10F23"/>
    <w:rsid w:val="00C118C0"/>
    <w:rsid w:val="00C1197C"/>
    <w:rsid w:val="00C11997"/>
    <w:rsid w:val="00C11A83"/>
    <w:rsid w:val="00C11CEA"/>
    <w:rsid w:val="00C12416"/>
    <w:rsid w:val="00C125AF"/>
    <w:rsid w:val="00C127E7"/>
    <w:rsid w:val="00C12C1F"/>
    <w:rsid w:val="00C12EF7"/>
    <w:rsid w:val="00C13683"/>
    <w:rsid w:val="00C13CA4"/>
    <w:rsid w:val="00C143DD"/>
    <w:rsid w:val="00C14873"/>
    <w:rsid w:val="00C14FB7"/>
    <w:rsid w:val="00C15B34"/>
    <w:rsid w:val="00C15F5E"/>
    <w:rsid w:val="00C16172"/>
    <w:rsid w:val="00C16283"/>
    <w:rsid w:val="00C1634C"/>
    <w:rsid w:val="00C16CB7"/>
    <w:rsid w:val="00C177BE"/>
    <w:rsid w:val="00C20A99"/>
    <w:rsid w:val="00C22227"/>
    <w:rsid w:val="00C222C8"/>
    <w:rsid w:val="00C22548"/>
    <w:rsid w:val="00C2259E"/>
    <w:rsid w:val="00C226AD"/>
    <w:rsid w:val="00C22B79"/>
    <w:rsid w:val="00C22EC1"/>
    <w:rsid w:val="00C231EE"/>
    <w:rsid w:val="00C23942"/>
    <w:rsid w:val="00C23B6C"/>
    <w:rsid w:val="00C24FA2"/>
    <w:rsid w:val="00C250E1"/>
    <w:rsid w:val="00C253E2"/>
    <w:rsid w:val="00C2547F"/>
    <w:rsid w:val="00C2587C"/>
    <w:rsid w:val="00C264CB"/>
    <w:rsid w:val="00C2705B"/>
    <w:rsid w:val="00C275C1"/>
    <w:rsid w:val="00C277BE"/>
    <w:rsid w:val="00C27FC9"/>
    <w:rsid w:val="00C307C4"/>
    <w:rsid w:val="00C30EFB"/>
    <w:rsid w:val="00C31CFE"/>
    <w:rsid w:val="00C31F1C"/>
    <w:rsid w:val="00C3244D"/>
    <w:rsid w:val="00C32D6E"/>
    <w:rsid w:val="00C33D18"/>
    <w:rsid w:val="00C33F65"/>
    <w:rsid w:val="00C34001"/>
    <w:rsid w:val="00C340A1"/>
    <w:rsid w:val="00C34276"/>
    <w:rsid w:val="00C347F4"/>
    <w:rsid w:val="00C34A2F"/>
    <w:rsid w:val="00C34CAF"/>
    <w:rsid w:val="00C34D77"/>
    <w:rsid w:val="00C35192"/>
    <w:rsid w:val="00C36A6D"/>
    <w:rsid w:val="00C36B1C"/>
    <w:rsid w:val="00C36F69"/>
    <w:rsid w:val="00C371FE"/>
    <w:rsid w:val="00C3780D"/>
    <w:rsid w:val="00C37F06"/>
    <w:rsid w:val="00C409F9"/>
    <w:rsid w:val="00C40A0D"/>
    <w:rsid w:val="00C40BBD"/>
    <w:rsid w:val="00C4138C"/>
    <w:rsid w:val="00C41493"/>
    <w:rsid w:val="00C41CD2"/>
    <w:rsid w:val="00C42CA0"/>
    <w:rsid w:val="00C435FA"/>
    <w:rsid w:val="00C43675"/>
    <w:rsid w:val="00C43C26"/>
    <w:rsid w:val="00C44C23"/>
    <w:rsid w:val="00C44E11"/>
    <w:rsid w:val="00C4699F"/>
    <w:rsid w:val="00C46BEA"/>
    <w:rsid w:val="00C47275"/>
    <w:rsid w:val="00C478F8"/>
    <w:rsid w:val="00C47F19"/>
    <w:rsid w:val="00C50321"/>
    <w:rsid w:val="00C50537"/>
    <w:rsid w:val="00C507A1"/>
    <w:rsid w:val="00C5091E"/>
    <w:rsid w:val="00C50FDF"/>
    <w:rsid w:val="00C51139"/>
    <w:rsid w:val="00C51B80"/>
    <w:rsid w:val="00C51EF1"/>
    <w:rsid w:val="00C522EB"/>
    <w:rsid w:val="00C523F6"/>
    <w:rsid w:val="00C5258E"/>
    <w:rsid w:val="00C525CC"/>
    <w:rsid w:val="00C52691"/>
    <w:rsid w:val="00C52E31"/>
    <w:rsid w:val="00C53244"/>
    <w:rsid w:val="00C533D7"/>
    <w:rsid w:val="00C5389C"/>
    <w:rsid w:val="00C545C0"/>
    <w:rsid w:val="00C55AFD"/>
    <w:rsid w:val="00C55C0F"/>
    <w:rsid w:val="00C55C12"/>
    <w:rsid w:val="00C563F4"/>
    <w:rsid w:val="00C564EE"/>
    <w:rsid w:val="00C5653A"/>
    <w:rsid w:val="00C56998"/>
    <w:rsid w:val="00C56B8A"/>
    <w:rsid w:val="00C573CE"/>
    <w:rsid w:val="00C57416"/>
    <w:rsid w:val="00C5750B"/>
    <w:rsid w:val="00C575DB"/>
    <w:rsid w:val="00C575EE"/>
    <w:rsid w:val="00C57872"/>
    <w:rsid w:val="00C57965"/>
    <w:rsid w:val="00C57E71"/>
    <w:rsid w:val="00C57FB3"/>
    <w:rsid w:val="00C57FFC"/>
    <w:rsid w:val="00C600CC"/>
    <w:rsid w:val="00C60BCA"/>
    <w:rsid w:val="00C6158E"/>
    <w:rsid w:val="00C61A77"/>
    <w:rsid w:val="00C61E2F"/>
    <w:rsid w:val="00C6204E"/>
    <w:rsid w:val="00C620B0"/>
    <w:rsid w:val="00C62401"/>
    <w:rsid w:val="00C628EE"/>
    <w:rsid w:val="00C62940"/>
    <w:rsid w:val="00C630D2"/>
    <w:rsid w:val="00C63102"/>
    <w:rsid w:val="00C63716"/>
    <w:rsid w:val="00C63EEC"/>
    <w:rsid w:val="00C64273"/>
    <w:rsid w:val="00C645F6"/>
    <w:rsid w:val="00C649DE"/>
    <w:rsid w:val="00C64CB2"/>
    <w:rsid w:val="00C6531B"/>
    <w:rsid w:val="00C653B8"/>
    <w:rsid w:val="00C65663"/>
    <w:rsid w:val="00C663F9"/>
    <w:rsid w:val="00C672CE"/>
    <w:rsid w:val="00C70211"/>
    <w:rsid w:val="00C702F6"/>
    <w:rsid w:val="00C708D2"/>
    <w:rsid w:val="00C71237"/>
    <w:rsid w:val="00C713B1"/>
    <w:rsid w:val="00C71CDA"/>
    <w:rsid w:val="00C729D6"/>
    <w:rsid w:val="00C72FAC"/>
    <w:rsid w:val="00C73A32"/>
    <w:rsid w:val="00C73A76"/>
    <w:rsid w:val="00C73CEA"/>
    <w:rsid w:val="00C73D71"/>
    <w:rsid w:val="00C73D83"/>
    <w:rsid w:val="00C74313"/>
    <w:rsid w:val="00C74317"/>
    <w:rsid w:val="00C744D9"/>
    <w:rsid w:val="00C749EB"/>
    <w:rsid w:val="00C74A5F"/>
    <w:rsid w:val="00C75003"/>
    <w:rsid w:val="00C750E2"/>
    <w:rsid w:val="00C750EF"/>
    <w:rsid w:val="00C75220"/>
    <w:rsid w:val="00C75781"/>
    <w:rsid w:val="00C75CF6"/>
    <w:rsid w:val="00C764C8"/>
    <w:rsid w:val="00C7670A"/>
    <w:rsid w:val="00C7781B"/>
    <w:rsid w:val="00C77BED"/>
    <w:rsid w:val="00C805FF"/>
    <w:rsid w:val="00C80A66"/>
    <w:rsid w:val="00C80B36"/>
    <w:rsid w:val="00C80E61"/>
    <w:rsid w:val="00C81A05"/>
    <w:rsid w:val="00C81D10"/>
    <w:rsid w:val="00C820F8"/>
    <w:rsid w:val="00C8254D"/>
    <w:rsid w:val="00C8269B"/>
    <w:rsid w:val="00C82B65"/>
    <w:rsid w:val="00C82F09"/>
    <w:rsid w:val="00C83119"/>
    <w:rsid w:val="00C8350C"/>
    <w:rsid w:val="00C83994"/>
    <w:rsid w:val="00C84B43"/>
    <w:rsid w:val="00C8501A"/>
    <w:rsid w:val="00C858A9"/>
    <w:rsid w:val="00C861F5"/>
    <w:rsid w:val="00C8661D"/>
    <w:rsid w:val="00C86C56"/>
    <w:rsid w:val="00C872BE"/>
    <w:rsid w:val="00C87B5C"/>
    <w:rsid w:val="00C87C43"/>
    <w:rsid w:val="00C87F06"/>
    <w:rsid w:val="00C90316"/>
    <w:rsid w:val="00C908D3"/>
    <w:rsid w:val="00C90C45"/>
    <w:rsid w:val="00C90F90"/>
    <w:rsid w:val="00C912C3"/>
    <w:rsid w:val="00C9169F"/>
    <w:rsid w:val="00C917C7"/>
    <w:rsid w:val="00C91899"/>
    <w:rsid w:val="00C91FAD"/>
    <w:rsid w:val="00C928B0"/>
    <w:rsid w:val="00C92B8E"/>
    <w:rsid w:val="00C92CAE"/>
    <w:rsid w:val="00C92ED2"/>
    <w:rsid w:val="00C935EF"/>
    <w:rsid w:val="00C936EA"/>
    <w:rsid w:val="00C93BBF"/>
    <w:rsid w:val="00C93FEC"/>
    <w:rsid w:val="00C94703"/>
    <w:rsid w:val="00C94874"/>
    <w:rsid w:val="00C948E2"/>
    <w:rsid w:val="00C94BEB"/>
    <w:rsid w:val="00C94F61"/>
    <w:rsid w:val="00C9509F"/>
    <w:rsid w:val="00C9623E"/>
    <w:rsid w:val="00C97368"/>
    <w:rsid w:val="00C97413"/>
    <w:rsid w:val="00C974EC"/>
    <w:rsid w:val="00C977F2"/>
    <w:rsid w:val="00C978B3"/>
    <w:rsid w:val="00C97ABD"/>
    <w:rsid w:val="00CA01BF"/>
    <w:rsid w:val="00CA0BEF"/>
    <w:rsid w:val="00CA1756"/>
    <w:rsid w:val="00CA17DC"/>
    <w:rsid w:val="00CA1CCB"/>
    <w:rsid w:val="00CA2087"/>
    <w:rsid w:val="00CA222D"/>
    <w:rsid w:val="00CA2479"/>
    <w:rsid w:val="00CA3BB7"/>
    <w:rsid w:val="00CA3CE4"/>
    <w:rsid w:val="00CA3D41"/>
    <w:rsid w:val="00CA552F"/>
    <w:rsid w:val="00CA564D"/>
    <w:rsid w:val="00CA5B0B"/>
    <w:rsid w:val="00CA5DF9"/>
    <w:rsid w:val="00CA6489"/>
    <w:rsid w:val="00CA67EA"/>
    <w:rsid w:val="00CA6AA6"/>
    <w:rsid w:val="00CA7E2B"/>
    <w:rsid w:val="00CB02B6"/>
    <w:rsid w:val="00CB03D4"/>
    <w:rsid w:val="00CB11AC"/>
    <w:rsid w:val="00CB135E"/>
    <w:rsid w:val="00CB1B36"/>
    <w:rsid w:val="00CB2400"/>
    <w:rsid w:val="00CB291C"/>
    <w:rsid w:val="00CB2D16"/>
    <w:rsid w:val="00CB2DCB"/>
    <w:rsid w:val="00CB30A7"/>
    <w:rsid w:val="00CB3D17"/>
    <w:rsid w:val="00CB40A2"/>
    <w:rsid w:val="00CB4C4C"/>
    <w:rsid w:val="00CB4DDC"/>
    <w:rsid w:val="00CB4E85"/>
    <w:rsid w:val="00CB53C2"/>
    <w:rsid w:val="00CB5406"/>
    <w:rsid w:val="00CB587F"/>
    <w:rsid w:val="00CB589B"/>
    <w:rsid w:val="00CB63B9"/>
    <w:rsid w:val="00CB6770"/>
    <w:rsid w:val="00CB6CFA"/>
    <w:rsid w:val="00CB6F76"/>
    <w:rsid w:val="00CB745E"/>
    <w:rsid w:val="00CB746E"/>
    <w:rsid w:val="00CB79B9"/>
    <w:rsid w:val="00CB7A91"/>
    <w:rsid w:val="00CB7FF8"/>
    <w:rsid w:val="00CC0016"/>
    <w:rsid w:val="00CC054B"/>
    <w:rsid w:val="00CC0B5C"/>
    <w:rsid w:val="00CC1052"/>
    <w:rsid w:val="00CC151E"/>
    <w:rsid w:val="00CC2475"/>
    <w:rsid w:val="00CC29D1"/>
    <w:rsid w:val="00CC2A5C"/>
    <w:rsid w:val="00CC2DD6"/>
    <w:rsid w:val="00CC331F"/>
    <w:rsid w:val="00CC33C9"/>
    <w:rsid w:val="00CC344E"/>
    <w:rsid w:val="00CC4066"/>
    <w:rsid w:val="00CC5043"/>
    <w:rsid w:val="00CC51D9"/>
    <w:rsid w:val="00CC5209"/>
    <w:rsid w:val="00CC5672"/>
    <w:rsid w:val="00CC5808"/>
    <w:rsid w:val="00CC639C"/>
    <w:rsid w:val="00CC66C2"/>
    <w:rsid w:val="00CC68CB"/>
    <w:rsid w:val="00CC6961"/>
    <w:rsid w:val="00CC6C20"/>
    <w:rsid w:val="00CC755D"/>
    <w:rsid w:val="00CC7C0F"/>
    <w:rsid w:val="00CC7DAB"/>
    <w:rsid w:val="00CC7EE4"/>
    <w:rsid w:val="00CC7FE0"/>
    <w:rsid w:val="00CD0684"/>
    <w:rsid w:val="00CD071B"/>
    <w:rsid w:val="00CD0AA3"/>
    <w:rsid w:val="00CD1038"/>
    <w:rsid w:val="00CD1B0C"/>
    <w:rsid w:val="00CD21D0"/>
    <w:rsid w:val="00CD2F75"/>
    <w:rsid w:val="00CD39FC"/>
    <w:rsid w:val="00CD3B6A"/>
    <w:rsid w:val="00CD3DF3"/>
    <w:rsid w:val="00CD421A"/>
    <w:rsid w:val="00CD50C0"/>
    <w:rsid w:val="00CD6141"/>
    <w:rsid w:val="00CD62DF"/>
    <w:rsid w:val="00CD6355"/>
    <w:rsid w:val="00CD64E8"/>
    <w:rsid w:val="00CD7146"/>
    <w:rsid w:val="00CD786D"/>
    <w:rsid w:val="00CE0035"/>
    <w:rsid w:val="00CE014C"/>
    <w:rsid w:val="00CE01A5"/>
    <w:rsid w:val="00CE0E95"/>
    <w:rsid w:val="00CE1698"/>
    <w:rsid w:val="00CE176F"/>
    <w:rsid w:val="00CE25DA"/>
    <w:rsid w:val="00CE2696"/>
    <w:rsid w:val="00CE2A7D"/>
    <w:rsid w:val="00CE2B2E"/>
    <w:rsid w:val="00CE38AF"/>
    <w:rsid w:val="00CE3DC7"/>
    <w:rsid w:val="00CE3F78"/>
    <w:rsid w:val="00CE4517"/>
    <w:rsid w:val="00CE4787"/>
    <w:rsid w:val="00CE4F3B"/>
    <w:rsid w:val="00CE5956"/>
    <w:rsid w:val="00CE6C6A"/>
    <w:rsid w:val="00CE6CB2"/>
    <w:rsid w:val="00CE7246"/>
    <w:rsid w:val="00CE779B"/>
    <w:rsid w:val="00CE7CE8"/>
    <w:rsid w:val="00CE7ED9"/>
    <w:rsid w:val="00CE7EF7"/>
    <w:rsid w:val="00CF00FA"/>
    <w:rsid w:val="00CF0BC2"/>
    <w:rsid w:val="00CF121E"/>
    <w:rsid w:val="00CF375A"/>
    <w:rsid w:val="00CF37FF"/>
    <w:rsid w:val="00CF41F3"/>
    <w:rsid w:val="00CF4204"/>
    <w:rsid w:val="00CF43FC"/>
    <w:rsid w:val="00CF444C"/>
    <w:rsid w:val="00CF48E3"/>
    <w:rsid w:val="00CF4D96"/>
    <w:rsid w:val="00CF4E9B"/>
    <w:rsid w:val="00CF5038"/>
    <w:rsid w:val="00CF57F3"/>
    <w:rsid w:val="00CF58B3"/>
    <w:rsid w:val="00CF617D"/>
    <w:rsid w:val="00CF729C"/>
    <w:rsid w:val="00CF76D3"/>
    <w:rsid w:val="00CF7AA4"/>
    <w:rsid w:val="00D009DF"/>
    <w:rsid w:val="00D00F6F"/>
    <w:rsid w:val="00D016D4"/>
    <w:rsid w:val="00D0186C"/>
    <w:rsid w:val="00D01DF0"/>
    <w:rsid w:val="00D020D3"/>
    <w:rsid w:val="00D02712"/>
    <w:rsid w:val="00D0331E"/>
    <w:rsid w:val="00D03B43"/>
    <w:rsid w:val="00D03CDE"/>
    <w:rsid w:val="00D04CF3"/>
    <w:rsid w:val="00D04F2B"/>
    <w:rsid w:val="00D05886"/>
    <w:rsid w:val="00D05EC7"/>
    <w:rsid w:val="00D05F9A"/>
    <w:rsid w:val="00D0620E"/>
    <w:rsid w:val="00D06AF1"/>
    <w:rsid w:val="00D073AD"/>
    <w:rsid w:val="00D078A4"/>
    <w:rsid w:val="00D07BE3"/>
    <w:rsid w:val="00D1127A"/>
    <w:rsid w:val="00D11569"/>
    <w:rsid w:val="00D1183F"/>
    <w:rsid w:val="00D126A1"/>
    <w:rsid w:val="00D13263"/>
    <w:rsid w:val="00D13F5F"/>
    <w:rsid w:val="00D1420E"/>
    <w:rsid w:val="00D14504"/>
    <w:rsid w:val="00D14C15"/>
    <w:rsid w:val="00D14C41"/>
    <w:rsid w:val="00D155D0"/>
    <w:rsid w:val="00D15B9B"/>
    <w:rsid w:val="00D15EF9"/>
    <w:rsid w:val="00D160FF"/>
    <w:rsid w:val="00D1654B"/>
    <w:rsid w:val="00D1671E"/>
    <w:rsid w:val="00D1689F"/>
    <w:rsid w:val="00D16B68"/>
    <w:rsid w:val="00D16B96"/>
    <w:rsid w:val="00D16DD7"/>
    <w:rsid w:val="00D16EDD"/>
    <w:rsid w:val="00D16EE0"/>
    <w:rsid w:val="00D16F06"/>
    <w:rsid w:val="00D17249"/>
    <w:rsid w:val="00D1757A"/>
    <w:rsid w:val="00D17CF9"/>
    <w:rsid w:val="00D20577"/>
    <w:rsid w:val="00D21762"/>
    <w:rsid w:val="00D22715"/>
    <w:rsid w:val="00D227E7"/>
    <w:rsid w:val="00D23188"/>
    <w:rsid w:val="00D23745"/>
    <w:rsid w:val="00D23D76"/>
    <w:rsid w:val="00D25830"/>
    <w:rsid w:val="00D25982"/>
    <w:rsid w:val="00D25A12"/>
    <w:rsid w:val="00D25B2D"/>
    <w:rsid w:val="00D260A7"/>
    <w:rsid w:val="00D2621C"/>
    <w:rsid w:val="00D26F4F"/>
    <w:rsid w:val="00D2726F"/>
    <w:rsid w:val="00D27798"/>
    <w:rsid w:val="00D279DF"/>
    <w:rsid w:val="00D27CDC"/>
    <w:rsid w:val="00D30185"/>
    <w:rsid w:val="00D30F7B"/>
    <w:rsid w:val="00D31470"/>
    <w:rsid w:val="00D318D5"/>
    <w:rsid w:val="00D31D25"/>
    <w:rsid w:val="00D31E25"/>
    <w:rsid w:val="00D32028"/>
    <w:rsid w:val="00D32932"/>
    <w:rsid w:val="00D32AA8"/>
    <w:rsid w:val="00D32C72"/>
    <w:rsid w:val="00D32DC1"/>
    <w:rsid w:val="00D33235"/>
    <w:rsid w:val="00D3365E"/>
    <w:rsid w:val="00D338E6"/>
    <w:rsid w:val="00D33C91"/>
    <w:rsid w:val="00D34571"/>
    <w:rsid w:val="00D34CCC"/>
    <w:rsid w:val="00D355F7"/>
    <w:rsid w:val="00D35C9C"/>
    <w:rsid w:val="00D3608F"/>
    <w:rsid w:val="00D36817"/>
    <w:rsid w:val="00D368BD"/>
    <w:rsid w:val="00D36EBD"/>
    <w:rsid w:val="00D37C71"/>
    <w:rsid w:val="00D37E8E"/>
    <w:rsid w:val="00D4003E"/>
    <w:rsid w:val="00D40AF7"/>
    <w:rsid w:val="00D41287"/>
    <w:rsid w:val="00D418A0"/>
    <w:rsid w:val="00D426E4"/>
    <w:rsid w:val="00D42832"/>
    <w:rsid w:val="00D42861"/>
    <w:rsid w:val="00D42EF9"/>
    <w:rsid w:val="00D42FA3"/>
    <w:rsid w:val="00D42FDB"/>
    <w:rsid w:val="00D43274"/>
    <w:rsid w:val="00D4373E"/>
    <w:rsid w:val="00D4377A"/>
    <w:rsid w:val="00D43EFF"/>
    <w:rsid w:val="00D44370"/>
    <w:rsid w:val="00D44DE4"/>
    <w:rsid w:val="00D450D1"/>
    <w:rsid w:val="00D4535D"/>
    <w:rsid w:val="00D456C7"/>
    <w:rsid w:val="00D45FBC"/>
    <w:rsid w:val="00D46170"/>
    <w:rsid w:val="00D465D6"/>
    <w:rsid w:val="00D467E2"/>
    <w:rsid w:val="00D46CFA"/>
    <w:rsid w:val="00D46DAB"/>
    <w:rsid w:val="00D46E24"/>
    <w:rsid w:val="00D46EE3"/>
    <w:rsid w:val="00D4776B"/>
    <w:rsid w:val="00D477EA"/>
    <w:rsid w:val="00D47AF7"/>
    <w:rsid w:val="00D5001A"/>
    <w:rsid w:val="00D5046B"/>
    <w:rsid w:val="00D505CE"/>
    <w:rsid w:val="00D506B0"/>
    <w:rsid w:val="00D50945"/>
    <w:rsid w:val="00D511AD"/>
    <w:rsid w:val="00D511F0"/>
    <w:rsid w:val="00D52071"/>
    <w:rsid w:val="00D520C1"/>
    <w:rsid w:val="00D5240D"/>
    <w:rsid w:val="00D52737"/>
    <w:rsid w:val="00D52D54"/>
    <w:rsid w:val="00D534BD"/>
    <w:rsid w:val="00D53AEA"/>
    <w:rsid w:val="00D53CF7"/>
    <w:rsid w:val="00D543CA"/>
    <w:rsid w:val="00D54957"/>
    <w:rsid w:val="00D54B2A"/>
    <w:rsid w:val="00D54FD6"/>
    <w:rsid w:val="00D5525E"/>
    <w:rsid w:val="00D556BB"/>
    <w:rsid w:val="00D56377"/>
    <w:rsid w:val="00D564CD"/>
    <w:rsid w:val="00D57194"/>
    <w:rsid w:val="00D576F2"/>
    <w:rsid w:val="00D57E6D"/>
    <w:rsid w:val="00D57FDD"/>
    <w:rsid w:val="00D601AC"/>
    <w:rsid w:val="00D60EB9"/>
    <w:rsid w:val="00D61166"/>
    <w:rsid w:val="00D6116E"/>
    <w:rsid w:val="00D61796"/>
    <w:rsid w:val="00D625D1"/>
    <w:rsid w:val="00D62E59"/>
    <w:rsid w:val="00D63AE8"/>
    <w:rsid w:val="00D64337"/>
    <w:rsid w:val="00D64730"/>
    <w:rsid w:val="00D6499D"/>
    <w:rsid w:val="00D65A14"/>
    <w:rsid w:val="00D66157"/>
    <w:rsid w:val="00D662EB"/>
    <w:rsid w:val="00D667FE"/>
    <w:rsid w:val="00D66936"/>
    <w:rsid w:val="00D66E24"/>
    <w:rsid w:val="00D671F8"/>
    <w:rsid w:val="00D67723"/>
    <w:rsid w:val="00D67778"/>
    <w:rsid w:val="00D70A19"/>
    <w:rsid w:val="00D70D7D"/>
    <w:rsid w:val="00D70E33"/>
    <w:rsid w:val="00D71069"/>
    <w:rsid w:val="00D72202"/>
    <w:rsid w:val="00D72E06"/>
    <w:rsid w:val="00D739C3"/>
    <w:rsid w:val="00D73AB7"/>
    <w:rsid w:val="00D73B45"/>
    <w:rsid w:val="00D73BE1"/>
    <w:rsid w:val="00D74212"/>
    <w:rsid w:val="00D748BF"/>
    <w:rsid w:val="00D74F23"/>
    <w:rsid w:val="00D7513E"/>
    <w:rsid w:val="00D7519E"/>
    <w:rsid w:val="00D751F1"/>
    <w:rsid w:val="00D75871"/>
    <w:rsid w:val="00D7753D"/>
    <w:rsid w:val="00D7758A"/>
    <w:rsid w:val="00D775DD"/>
    <w:rsid w:val="00D779AF"/>
    <w:rsid w:val="00D77AE4"/>
    <w:rsid w:val="00D80204"/>
    <w:rsid w:val="00D808DE"/>
    <w:rsid w:val="00D8098C"/>
    <w:rsid w:val="00D8099D"/>
    <w:rsid w:val="00D80B2E"/>
    <w:rsid w:val="00D8116C"/>
    <w:rsid w:val="00D81353"/>
    <w:rsid w:val="00D81383"/>
    <w:rsid w:val="00D81938"/>
    <w:rsid w:val="00D81A65"/>
    <w:rsid w:val="00D81F51"/>
    <w:rsid w:val="00D81FFA"/>
    <w:rsid w:val="00D8228A"/>
    <w:rsid w:val="00D8248B"/>
    <w:rsid w:val="00D829D6"/>
    <w:rsid w:val="00D82EFC"/>
    <w:rsid w:val="00D82FCD"/>
    <w:rsid w:val="00D83B24"/>
    <w:rsid w:val="00D83F0C"/>
    <w:rsid w:val="00D83FEC"/>
    <w:rsid w:val="00D8538B"/>
    <w:rsid w:val="00D854BF"/>
    <w:rsid w:val="00D85F73"/>
    <w:rsid w:val="00D863AC"/>
    <w:rsid w:val="00D86502"/>
    <w:rsid w:val="00D874F0"/>
    <w:rsid w:val="00D87CB3"/>
    <w:rsid w:val="00D87CD5"/>
    <w:rsid w:val="00D87F96"/>
    <w:rsid w:val="00D906E0"/>
    <w:rsid w:val="00D90760"/>
    <w:rsid w:val="00D91652"/>
    <w:rsid w:val="00D916B8"/>
    <w:rsid w:val="00D91847"/>
    <w:rsid w:val="00D91A01"/>
    <w:rsid w:val="00D91B78"/>
    <w:rsid w:val="00D91CFD"/>
    <w:rsid w:val="00D91E20"/>
    <w:rsid w:val="00D9242B"/>
    <w:rsid w:val="00D9270D"/>
    <w:rsid w:val="00D92AC8"/>
    <w:rsid w:val="00D92CF4"/>
    <w:rsid w:val="00D92EC1"/>
    <w:rsid w:val="00D92F93"/>
    <w:rsid w:val="00D92FDA"/>
    <w:rsid w:val="00D93099"/>
    <w:rsid w:val="00D9320C"/>
    <w:rsid w:val="00D93260"/>
    <w:rsid w:val="00D9333F"/>
    <w:rsid w:val="00D93588"/>
    <w:rsid w:val="00D93B4E"/>
    <w:rsid w:val="00D93CAA"/>
    <w:rsid w:val="00D93EDC"/>
    <w:rsid w:val="00D93F29"/>
    <w:rsid w:val="00D9400F"/>
    <w:rsid w:val="00D94012"/>
    <w:rsid w:val="00D943D2"/>
    <w:rsid w:val="00D94BA9"/>
    <w:rsid w:val="00D94F44"/>
    <w:rsid w:val="00D96471"/>
    <w:rsid w:val="00D970E8"/>
    <w:rsid w:val="00D97148"/>
    <w:rsid w:val="00D9769C"/>
    <w:rsid w:val="00DA11AA"/>
    <w:rsid w:val="00DA240B"/>
    <w:rsid w:val="00DA266C"/>
    <w:rsid w:val="00DA347F"/>
    <w:rsid w:val="00DA3977"/>
    <w:rsid w:val="00DA39A6"/>
    <w:rsid w:val="00DA3B12"/>
    <w:rsid w:val="00DA454E"/>
    <w:rsid w:val="00DA5430"/>
    <w:rsid w:val="00DA574B"/>
    <w:rsid w:val="00DA653F"/>
    <w:rsid w:val="00DA6810"/>
    <w:rsid w:val="00DA69FF"/>
    <w:rsid w:val="00DA6C1F"/>
    <w:rsid w:val="00DA7B96"/>
    <w:rsid w:val="00DA7E62"/>
    <w:rsid w:val="00DB0679"/>
    <w:rsid w:val="00DB0939"/>
    <w:rsid w:val="00DB09BC"/>
    <w:rsid w:val="00DB0DBC"/>
    <w:rsid w:val="00DB0F57"/>
    <w:rsid w:val="00DB1608"/>
    <w:rsid w:val="00DB1DEE"/>
    <w:rsid w:val="00DB2577"/>
    <w:rsid w:val="00DB368D"/>
    <w:rsid w:val="00DB3C65"/>
    <w:rsid w:val="00DB4040"/>
    <w:rsid w:val="00DB4290"/>
    <w:rsid w:val="00DB42BD"/>
    <w:rsid w:val="00DB48A9"/>
    <w:rsid w:val="00DB4A1E"/>
    <w:rsid w:val="00DB4E31"/>
    <w:rsid w:val="00DB4FFA"/>
    <w:rsid w:val="00DB5ACC"/>
    <w:rsid w:val="00DB5B0F"/>
    <w:rsid w:val="00DB5C3F"/>
    <w:rsid w:val="00DB5F8E"/>
    <w:rsid w:val="00DB64F8"/>
    <w:rsid w:val="00DB6766"/>
    <w:rsid w:val="00DB7454"/>
    <w:rsid w:val="00DB751C"/>
    <w:rsid w:val="00DB76FE"/>
    <w:rsid w:val="00DB7A8D"/>
    <w:rsid w:val="00DB7F39"/>
    <w:rsid w:val="00DC0E2A"/>
    <w:rsid w:val="00DC1682"/>
    <w:rsid w:val="00DC18A4"/>
    <w:rsid w:val="00DC18D5"/>
    <w:rsid w:val="00DC1BAE"/>
    <w:rsid w:val="00DC1BEA"/>
    <w:rsid w:val="00DC1CAC"/>
    <w:rsid w:val="00DC1F31"/>
    <w:rsid w:val="00DC2089"/>
    <w:rsid w:val="00DC25F6"/>
    <w:rsid w:val="00DC291F"/>
    <w:rsid w:val="00DC29DA"/>
    <w:rsid w:val="00DC2E1E"/>
    <w:rsid w:val="00DC3513"/>
    <w:rsid w:val="00DC369D"/>
    <w:rsid w:val="00DC3831"/>
    <w:rsid w:val="00DC3E85"/>
    <w:rsid w:val="00DC4588"/>
    <w:rsid w:val="00DC45DC"/>
    <w:rsid w:val="00DC45EA"/>
    <w:rsid w:val="00DC5159"/>
    <w:rsid w:val="00DC6317"/>
    <w:rsid w:val="00DC6326"/>
    <w:rsid w:val="00DC632E"/>
    <w:rsid w:val="00DC71A1"/>
    <w:rsid w:val="00DC7737"/>
    <w:rsid w:val="00DD04AB"/>
    <w:rsid w:val="00DD0649"/>
    <w:rsid w:val="00DD0F10"/>
    <w:rsid w:val="00DD10CF"/>
    <w:rsid w:val="00DD1F09"/>
    <w:rsid w:val="00DD23AA"/>
    <w:rsid w:val="00DD24B9"/>
    <w:rsid w:val="00DD2EAD"/>
    <w:rsid w:val="00DD347E"/>
    <w:rsid w:val="00DD3794"/>
    <w:rsid w:val="00DD40A5"/>
    <w:rsid w:val="00DD50DA"/>
    <w:rsid w:val="00DD53F5"/>
    <w:rsid w:val="00DD7639"/>
    <w:rsid w:val="00DD772B"/>
    <w:rsid w:val="00DD786E"/>
    <w:rsid w:val="00DD78C3"/>
    <w:rsid w:val="00DE0275"/>
    <w:rsid w:val="00DE02AA"/>
    <w:rsid w:val="00DE0347"/>
    <w:rsid w:val="00DE05E7"/>
    <w:rsid w:val="00DE0BE1"/>
    <w:rsid w:val="00DE0DF8"/>
    <w:rsid w:val="00DE0EA5"/>
    <w:rsid w:val="00DE1391"/>
    <w:rsid w:val="00DE146C"/>
    <w:rsid w:val="00DE14F4"/>
    <w:rsid w:val="00DE1FAA"/>
    <w:rsid w:val="00DE26DB"/>
    <w:rsid w:val="00DE29F7"/>
    <w:rsid w:val="00DE2BC8"/>
    <w:rsid w:val="00DE2EA6"/>
    <w:rsid w:val="00DE3EED"/>
    <w:rsid w:val="00DE401A"/>
    <w:rsid w:val="00DE4200"/>
    <w:rsid w:val="00DE47BA"/>
    <w:rsid w:val="00DE480E"/>
    <w:rsid w:val="00DE48AA"/>
    <w:rsid w:val="00DE4AE1"/>
    <w:rsid w:val="00DE4E1F"/>
    <w:rsid w:val="00DE512E"/>
    <w:rsid w:val="00DE55EC"/>
    <w:rsid w:val="00DE5686"/>
    <w:rsid w:val="00DE5735"/>
    <w:rsid w:val="00DE5795"/>
    <w:rsid w:val="00DE585B"/>
    <w:rsid w:val="00DE5AE4"/>
    <w:rsid w:val="00DE5DD9"/>
    <w:rsid w:val="00DE60FF"/>
    <w:rsid w:val="00DE619C"/>
    <w:rsid w:val="00DE6889"/>
    <w:rsid w:val="00DE6C35"/>
    <w:rsid w:val="00DE6D0D"/>
    <w:rsid w:val="00DF0257"/>
    <w:rsid w:val="00DF0AFE"/>
    <w:rsid w:val="00DF0B79"/>
    <w:rsid w:val="00DF0B88"/>
    <w:rsid w:val="00DF1245"/>
    <w:rsid w:val="00DF2373"/>
    <w:rsid w:val="00DF2771"/>
    <w:rsid w:val="00DF4C38"/>
    <w:rsid w:val="00DF5378"/>
    <w:rsid w:val="00DF56E0"/>
    <w:rsid w:val="00DF5A4C"/>
    <w:rsid w:val="00DF5D62"/>
    <w:rsid w:val="00DF670B"/>
    <w:rsid w:val="00DF6BBC"/>
    <w:rsid w:val="00DF7292"/>
    <w:rsid w:val="00DF7905"/>
    <w:rsid w:val="00DF7EBA"/>
    <w:rsid w:val="00E000D4"/>
    <w:rsid w:val="00E00543"/>
    <w:rsid w:val="00E0055C"/>
    <w:rsid w:val="00E0060B"/>
    <w:rsid w:val="00E006FE"/>
    <w:rsid w:val="00E00838"/>
    <w:rsid w:val="00E00D51"/>
    <w:rsid w:val="00E00D82"/>
    <w:rsid w:val="00E012B2"/>
    <w:rsid w:val="00E01423"/>
    <w:rsid w:val="00E014BC"/>
    <w:rsid w:val="00E018FB"/>
    <w:rsid w:val="00E01A8D"/>
    <w:rsid w:val="00E01D4E"/>
    <w:rsid w:val="00E01F59"/>
    <w:rsid w:val="00E01FC6"/>
    <w:rsid w:val="00E02506"/>
    <w:rsid w:val="00E02AFE"/>
    <w:rsid w:val="00E03378"/>
    <w:rsid w:val="00E03813"/>
    <w:rsid w:val="00E03E33"/>
    <w:rsid w:val="00E0448A"/>
    <w:rsid w:val="00E049D7"/>
    <w:rsid w:val="00E04D6A"/>
    <w:rsid w:val="00E04F1D"/>
    <w:rsid w:val="00E05009"/>
    <w:rsid w:val="00E0513F"/>
    <w:rsid w:val="00E05284"/>
    <w:rsid w:val="00E05533"/>
    <w:rsid w:val="00E05547"/>
    <w:rsid w:val="00E05AFF"/>
    <w:rsid w:val="00E05C6D"/>
    <w:rsid w:val="00E05CFB"/>
    <w:rsid w:val="00E0647B"/>
    <w:rsid w:val="00E06A11"/>
    <w:rsid w:val="00E06EAF"/>
    <w:rsid w:val="00E06F7A"/>
    <w:rsid w:val="00E07B25"/>
    <w:rsid w:val="00E07E81"/>
    <w:rsid w:val="00E07FE4"/>
    <w:rsid w:val="00E10641"/>
    <w:rsid w:val="00E10834"/>
    <w:rsid w:val="00E11CE7"/>
    <w:rsid w:val="00E120AB"/>
    <w:rsid w:val="00E12226"/>
    <w:rsid w:val="00E12966"/>
    <w:rsid w:val="00E132B4"/>
    <w:rsid w:val="00E1334C"/>
    <w:rsid w:val="00E13578"/>
    <w:rsid w:val="00E14158"/>
    <w:rsid w:val="00E14175"/>
    <w:rsid w:val="00E14D16"/>
    <w:rsid w:val="00E1572C"/>
    <w:rsid w:val="00E15C4B"/>
    <w:rsid w:val="00E16068"/>
    <w:rsid w:val="00E161CF"/>
    <w:rsid w:val="00E165FB"/>
    <w:rsid w:val="00E1681E"/>
    <w:rsid w:val="00E16955"/>
    <w:rsid w:val="00E16A08"/>
    <w:rsid w:val="00E16F5A"/>
    <w:rsid w:val="00E1791A"/>
    <w:rsid w:val="00E20532"/>
    <w:rsid w:val="00E205D3"/>
    <w:rsid w:val="00E20A82"/>
    <w:rsid w:val="00E20E7A"/>
    <w:rsid w:val="00E21122"/>
    <w:rsid w:val="00E21ABA"/>
    <w:rsid w:val="00E21BC6"/>
    <w:rsid w:val="00E21C8C"/>
    <w:rsid w:val="00E22591"/>
    <w:rsid w:val="00E22733"/>
    <w:rsid w:val="00E22DEF"/>
    <w:rsid w:val="00E22E39"/>
    <w:rsid w:val="00E23A07"/>
    <w:rsid w:val="00E241EA"/>
    <w:rsid w:val="00E2467B"/>
    <w:rsid w:val="00E24F7B"/>
    <w:rsid w:val="00E2552E"/>
    <w:rsid w:val="00E256C3"/>
    <w:rsid w:val="00E25833"/>
    <w:rsid w:val="00E25896"/>
    <w:rsid w:val="00E25B59"/>
    <w:rsid w:val="00E25D7A"/>
    <w:rsid w:val="00E26042"/>
    <w:rsid w:val="00E264C3"/>
    <w:rsid w:val="00E26B2F"/>
    <w:rsid w:val="00E2723B"/>
    <w:rsid w:val="00E27306"/>
    <w:rsid w:val="00E275B5"/>
    <w:rsid w:val="00E27963"/>
    <w:rsid w:val="00E27DFC"/>
    <w:rsid w:val="00E30A3C"/>
    <w:rsid w:val="00E30D26"/>
    <w:rsid w:val="00E31607"/>
    <w:rsid w:val="00E31A39"/>
    <w:rsid w:val="00E322AD"/>
    <w:rsid w:val="00E323C2"/>
    <w:rsid w:val="00E32486"/>
    <w:rsid w:val="00E32739"/>
    <w:rsid w:val="00E329A2"/>
    <w:rsid w:val="00E32B76"/>
    <w:rsid w:val="00E32F2A"/>
    <w:rsid w:val="00E32F88"/>
    <w:rsid w:val="00E33141"/>
    <w:rsid w:val="00E331D4"/>
    <w:rsid w:val="00E3321E"/>
    <w:rsid w:val="00E3462A"/>
    <w:rsid w:val="00E34703"/>
    <w:rsid w:val="00E34D4A"/>
    <w:rsid w:val="00E3559D"/>
    <w:rsid w:val="00E357B7"/>
    <w:rsid w:val="00E35BA4"/>
    <w:rsid w:val="00E36545"/>
    <w:rsid w:val="00E36711"/>
    <w:rsid w:val="00E3674B"/>
    <w:rsid w:val="00E3689D"/>
    <w:rsid w:val="00E369CD"/>
    <w:rsid w:val="00E36A03"/>
    <w:rsid w:val="00E36E82"/>
    <w:rsid w:val="00E36FFA"/>
    <w:rsid w:val="00E37CFC"/>
    <w:rsid w:val="00E37DA9"/>
    <w:rsid w:val="00E37EB2"/>
    <w:rsid w:val="00E40061"/>
    <w:rsid w:val="00E40145"/>
    <w:rsid w:val="00E40B7F"/>
    <w:rsid w:val="00E4122F"/>
    <w:rsid w:val="00E4144A"/>
    <w:rsid w:val="00E41670"/>
    <w:rsid w:val="00E41E29"/>
    <w:rsid w:val="00E420AB"/>
    <w:rsid w:val="00E42278"/>
    <w:rsid w:val="00E42BD6"/>
    <w:rsid w:val="00E435C9"/>
    <w:rsid w:val="00E439DC"/>
    <w:rsid w:val="00E43A72"/>
    <w:rsid w:val="00E44E86"/>
    <w:rsid w:val="00E45557"/>
    <w:rsid w:val="00E457E2"/>
    <w:rsid w:val="00E45BA1"/>
    <w:rsid w:val="00E45C6E"/>
    <w:rsid w:val="00E45FBF"/>
    <w:rsid w:val="00E4748F"/>
    <w:rsid w:val="00E477AE"/>
    <w:rsid w:val="00E47DB8"/>
    <w:rsid w:val="00E47F31"/>
    <w:rsid w:val="00E5039D"/>
    <w:rsid w:val="00E50750"/>
    <w:rsid w:val="00E50B74"/>
    <w:rsid w:val="00E50ED4"/>
    <w:rsid w:val="00E51570"/>
    <w:rsid w:val="00E517A8"/>
    <w:rsid w:val="00E51C7C"/>
    <w:rsid w:val="00E51FD9"/>
    <w:rsid w:val="00E523D7"/>
    <w:rsid w:val="00E530AA"/>
    <w:rsid w:val="00E53C5A"/>
    <w:rsid w:val="00E53ECB"/>
    <w:rsid w:val="00E53FE6"/>
    <w:rsid w:val="00E545D7"/>
    <w:rsid w:val="00E54655"/>
    <w:rsid w:val="00E54969"/>
    <w:rsid w:val="00E5534A"/>
    <w:rsid w:val="00E553B9"/>
    <w:rsid w:val="00E55823"/>
    <w:rsid w:val="00E55F8B"/>
    <w:rsid w:val="00E56C10"/>
    <w:rsid w:val="00E56C92"/>
    <w:rsid w:val="00E56D91"/>
    <w:rsid w:val="00E57291"/>
    <w:rsid w:val="00E572E3"/>
    <w:rsid w:val="00E60312"/>
    <w:rsid w:val="00E60796"/>
    <w:rsid w:val="00E60F18"/>
    <w:rsid w:val="00E61051"/>
    <w:rsid w:val="00E6134A"/>
    <w:rsid w:val="00E616E5"/>
    <w:rsid w:val="00E619B1"/>
    <w:rsid w:val="00E61CFC"/>
    <w:rsid w:val="00E61EA8"/>
    <w:rsid w:val="00E62175"/>
    <w:rsid w:val="00E62A7B"/>
    <w:rsid w:val="00E62CD3"/>
    <w:rsid w:val="00E63462"/>
    <w:rsid w:val="00E63753"/>
    <w:rsid w:val="00E63C7C"/>
    <w:rsid w:val="00E6428C"/>
    <w:rsid w:val="00E646EB"/>
    <w:rsid w:val="00E6535F"/>
    <w:rsid w:val="00E658B9"/>
    <w:rsid w:val="00E659BE"/>
    <w:rsid w:val="00E664B7"/>
    <w:rsid w:val="00E66A51"/>
    <w:rsid w:val="00E66F8B"/>
    <w:rsid w:val="00E67892"/>
    <w:rsid w:val="00E6790F"/>
    <w:rsid w:val="00E67948"/>
    <w:rsid w:val="00E70509"/>
    <w:rsid w:val="00E708AA"/>
    <w:rsid w:val="00E714EC"/>
    <w:rsid w:val="00E71A6E"/>
    <w:rsid w:val="00E71AA3"/>
    <w:rsid w:val="00E72515"/>
    <w:rsid w:val="00E729E3"/>
    <w:rsid w:val="00E72A7B"/>
    <w:rsid w:val="00E72FCD"/>
    <w:rsid w:val="00E73031"/>
    <w:rsid w:val="00E731C7"/>
    <w:rsid w:val="00E73C8A"/>
    <w:rsid w:val="00E740D1"/>
    <w:rsid w:val="00E7413F"/>
    <w:rsid w:val="00E750C2"/>
    <w:rsid w:val="00E753F5"/>
    <w:rsid w:val="00E7585D"/>
    <w:rsid w:val="00E75FE2"/>
    <w:rsid w:val="00E7607F"/>
    <w:rsid w:val="00E76269"/>
    <w:rsid w:val="00E7660D"/>
    <w:rsid w:val="00E77063"/>
    <w:rsid w:val="00E77C3C"/>
    <w:rsid w:val="00E77D79"/>
    <w:rsid w:val="00E77DA8"/>
    <w:rsid w:val="00E80C09"/>
    <w:rsid w:val="00E835BA"/>
    <w:rsid w:val="00E83844"/>
    <w:rsid w:val="00E839E1"/>
    <w:rsid w:val="00E83B16"/>
    <w:rsid w:val="00E83F30"/>
    <w:rsid w:val="00E84657"/>
    <w:rsid w:val="00E84CA9"/>
    <w:rsid w:val="00E85359"/>
    <w:rsid w:val="00E85881"/>
    <w:rsid w:val="00E85CE9"/>
    <w:rsid w:val="00E860E4"/>
    <w:rsid w:val="00E86B8C"/>
    <w:rsid w:val="00E86DA7"/>
    <w:rsid w:val="00E86DBC"/>
    <w:rsid w:val="00E86FC6"/>
    <w:rsid w:val="00E8766F"/>
    <w:rsid w:val="00E8778B"/>
    <w:rsid w:val="00E90A3E"/>
    <w:rsid w:val="00E90B4D"/>
    <w:rsid w:val="00E90FF0"/>
    <w:rsid w:val="00E9166D"/>
    <w:rsid w:val="00E91687"/>
    <w:rsid w:val="00E917D3"/>
    <w:rsid w:val="00E91CA0"/>
    <w:rsid w:val="00E92004"/>
    <w:rsid w:val="00E921DC"/>
    <w:rsid w:val="00E925B3"/>
    <w:rsid w:val="00E92981"/>
    <w:rsid w:val="00E9314D"/>
    <w:rsid w:val="00E93512"/>
    <w:rsid w:val="00E939B0"/>
    <w:rsid w:val="00E93E5D"/>
    <w:rsid w:val="00E948CB"/>
    <w:rsid w:val="00E9497D"/>
    <w:rsid w:val="00E9547E"/>
    <w:rsid w:val="00E956CB"/>
    <w:rsid w:val="00E95AE4"/>
    <w:rsid w:val="00E96315"/>
    <w:rsid w:val="00E9640E"/>
    <w:rsid w:val="00E96518"/>
    <w:rsid w:val="00E96E11"/>
    <w:rsid w:val="00E970BD"/>
    <w:rsid w:val="00E9734D"/>
    <w:rsid w:val="00E9748D"/>
    <w:rsid w:val="00E974E0"/>
    <w:rsid w:val="00E97E3F"/>
    <w:rsid w:val="00E97E59"/>
    <w:rsid w:val="00E97EE7"/>
    <w:rsid w:val="00EA0B6E"/>
    <w:rsid w:val="00EA2205"/>
    <w:rsid w:val="00EA3141"/>
    <w:rsid w:val="00EA3851"/>
    <w:rsid w:val="00EA3A75"/>
    <w:rsid w:val="00EA4418"/>
    <w:rsid w:val="00EA4445"/>
    <w:rsid w:val="00EA478E"/>
    <w:rsid w:val="00EA4F94"/>
    <w:rsid w:val="00EA61FB"/>
    <w:rsid w:val="00EA6FD4"/>
    <w:rsid w:val="00EB10DD"/>
    <w:rsid w:val="00EB14AE"/>
    <w:rsid w:val="00EB1FBA"/>
    <w:rsid w:val="00EB2035"/>
    <w:rsid w:val="00EB2AC3"/>
    <w:rsid w:val="00EB2C21"/>
    <w:rsid w:val="00EB33CB"/>
    <w:rsid w:val="00EB3E57"/>
    <w:rsid w:val="00EB414F"/>
    <w:rsid w:val="00EB41C4"/>
    <w:rsid w:val="00EB45BE"/>
    <w:rsid w:val="00EB4C57"/>
    <w:rsid w:val="00EB5134"/>
    <w:rsid w:val="00EB5675"/>
    <w:rsid w:val="00EB57DA"/>
    <w:rsid w:val="00EB62AA"/>
    <w:rsid w:val="00EB65B3"/>
    <w:rsid w:val="00EB74E2"/>
    <w:rsid w:val="00EB75BD"/>
    <w:rsid w:val="00EC0765"/>
    <w:rsid w:val="00EC0F72"/>
    <w:rsid w:val="00EC10A4"/>
    <w:rsid w:val="00EC13FE"/>
    <w:rsid w:val="00EC18EF"/>
    <w:rsid w:val="00EC22BF"/>
    <w:rsid w:val="00EC27EB"/>
    <w:rsid w:val="00EC30A0"/>
    <w:rsid w:val="00EC3623"/>
    <w:rsid w:val="00EC3A99"/>
    <w:rsid w:val="00EC3ADC"/>
    <w:rsid w:val="00EC3B1E"/>
    <w:rsid w:val="00EC45A6"/>
    <w:rsid w:val="00EC5950"/>
    <w:rsid w:val="00EC677F"/>
    <w:rsid w:val="00EC7152"/>
    <w:rsid w:val="00EC7332"/>
    <w:rsid w:val="00EC7422"/>
    <w:rsid w:val="00EC7A3D"/>
    <w:rsid w:val="00ED02FD"/>
    <w:rsid w:val="00ED0355"/>
    <w:rsid w:val="00ED04A7"/>
    <w:rsid w:val="00ED1054"/>
    <w:rsid w:val="00ED12D2"/>
    <w:rsid w:val="00ED2611"/>
    <w:rsid w:val="00ED2864"/>
    <w:rsid w:val="00ED31A5"/>
    <w:rsid w:val="00ED3AA3"/>
    <w:rsid w:val="00ED3D52"/>
    <w:rsid w:val="00ED3FD2"/>
    <w:rsid w:val="00ED40A9"/>
    <w:rsid w:val="00ED41A0"/>
    <w:rsid w:val="00ED432E"/>
    <w:rsid w:val="00ED4B1F"/>
    <w:rsid w:val="00ED54CB"/>
    <w:rsid w:val="00ED55DF"/>
    <w:rsid w:val="00ED56A7"/>
    <w:rsid w:val="00ED5851"/>
    <w:rsid w:val="00ED5A8D"/>
    <w:rsid w:val="00ED5AFD"/>
    <w:rsid w:val="00ED5FBD"/>
    <w:rsid w:val="00ED70D9"/>
    <w:rsid w:val="00ED755A"/>
    <w:rsid w:val="00ED76C7"/>
    <w:rsid w:val="00ED7852"/>
    <w:rsid w:val="00ED798B"/>
    <w:rsid w:val="00ED79E0"/>
    <w:rsid w:val="00ED7AC8"/>
    <w:rsid w:val="00EE0868"/>
    <w:rsid w:val="00EE10CD"/>
    <w:rsid w:val="00EE2157"/>
    <w:rsid w:val="00EE2335"/>
    <w:rsid w:val="00EE2379"/>
    <w:rsid w:val="00EE255F"/>
    <w:rsid w:val="00EE2591"/>
    <w:rsid w:val="00EE304A"/>
    <w:rsid w:val="00EE3242"/>
    <w:rsid w:val="00EE38CE"/>
    <w:rsid w:val="00EE39AA"/>
    <w:rsid w:val="00EE3AAA"/>
    <w:rsid w:val="00EE3E24"/>
    <w:rsid w:val="00EE3F7F"/>
    <w:rsid w:val="00EE412A"/>
    <w:rsid w:val="00EE41BC"/>
    <w:rsid w:val="00EE4303"/>
    <w:rsid w:val="00EE5087"/>
    <w:rsid w:val="00EE54CE"/>
    <w:rsid w:val="00EE5A51"/>
    <w:rsid w:val="00EE5D7D"/>
    <w:rsid w:val="00EE6543"/>
    <w:rsid w:val="00EE697E"/>
    <w:rsid w:val="00EE6D5C"/>
    <w:rsid w:val="00EE72AC"/>
    <w:rsid w:val="00EE7490"/>
    <w:rsid w:val="00EE7EA7"/>
    <w:rsid w:val="00EE7FDF"/>
    <w:rsid w:val="00EF0692"/>
    <w:rsid w:val="00EF07C9"/>
    <w:rsid w:val="00EF0ED3"/>
    <w:rsid w:val="00EF113C"/>
    <w:rsid w:val="00EF134D"/>
    <w:rsid w:val="00EF1C65"/>
    <w:rsid w:val="00EF26B4"/>
    <w:rsid w:val="00EF2E56"/>
    <w:rsid w:val="00EF30DD"/>
    <w:rsid w:val="00EF32D7"/>
    <w:rsid w:val="00EF3B89"/>
    <w:rsid w:val="00EF457D"/>
    <w:rsid w:val="00EF480F"/>
    <w:rsid w:val="00EF4A61"/>
    <w:rsid w:val="00EF4B0D"/>
    <w:rsid w:val="00EF4F44"/>
    <w:rsid w:val="00EF51EE"/>
    <w:rsid w:val="00EF59C0"/>
    <w:rsid w:val="00EF5ED2"/>
    <w:rsid w:val="00EF6026"/>
    <w:rsid w:val="00EF66EF"/>
    <w:rsid w:val="00EF679E"/>
    <w:rsid w:val="00EF6BB5"/>
    <w:rsid w:val="00EF7AB3"/>
    <w:rsid w:val="00EF7AD0"/>
    <w:rsid w:val="00F00136"/>
    <w:rsid w:val="00F0017C"/>
    <w:rsid w:val="00F003C4"/>
    <w:rsid w:val="00F00738"/>
    <w:rsid w:val="00F00901"/>
    <w:rsid w:val="00F00A2C"/>
    <w:rsid w:val="00F00AFB"/>
    <w:rsid w:val="00F00C46"/>
    <w:rsid w:val="00F00DB4"/>
    <w:rsid w:val="00F00FE6"/>
    <w:rsid w:val="00F014D0"/>
    <w:rsid w:val="00F01589"/>
    <w:rsid w:val="00F0196D"/>
    <w:rsid w:val="00F01DE3"/>
    <w:rsid w:val="00F02760"/>
    <w:rsid w:val="00F0299D"/>
    <w:rsid w:val="00F033F1"/>
    <w:rsid w:val="00F03407"/>
    <w:rsid w:val="00F03449"/>
    <w:rsid w:val="00F03BF4"/>
    <w:rsid w:val="00F03C2A"/>
    <w:rsid w:val="00F03FA8"/>
    <w:rsid w:val="00F04842"/>
    <w:rsid w:val="00F05858"/>
    <w:rsid w:val="00F05F30"/>
    <w:rsid w:val="00F069A7"/>
    <w:rsid w:val="00F06FE3"/>
    <w:rsid w:val="00F07353"/>
    <w:rsid w:val="00F0781A"/>
    <w:rsid w:val="00F07A2F"/>
    <w:rsid w:val="00F100D3"/>
    <w:rsid w:val="00F1017E"/>
    <w:rsid w:val="00F10472"/>
    <w:rsid w:val="00F1051D"/>
    <w:rsid w:val="00F10B3F"/>
    <w:rsid w:val="00F10CD2"/>
    <w:rsid w:val="00F10E8D"/>
    <w:rsid w:val="00F10F52"/>
    <w:rsid w:val="00F111C1"/>
    <w:rsid w:val="00F1123C"/>
    <w:rsid w:val="00F113E1"/>
    <w:rsid w:val="00F11529"/>
    <w:rsid w:val="00F11E68"/>
    <w:rsid w:val="00F11F30"/>
    <w:rsid w:val="00F1225B"/>
    <w:rsid w:val="00F12A19"/>
    <w:rsid w:val="00F12B1B"/>
    <w:rsid w:val="00F136C6"/>
    <w:rsid w:val="00F13D8E"/>
    <w:rsid w:val="00F141D1"/>
    <w:rsid w:val="00F143BC"/>
    <w:rsid w:val="00F14625"/>
    <w:rsid w:val="00F14AB9"/>
    <w:rsid w:val="00F153D6"/>
    <w:rsid w:val="00F15888"/>
    <w:rsid w:val="00F15AF3"/>
    <w:rsid w:val="00F15DAD"/>
    <w:rsid w:val="00F15E5E"/>
    <w:rsid w:val="00F16457"/>
    <w:rsid w:val="00F165B7"/>
    <w:rsid w:val="00F16D11"/>
    <w:rsid w:val="00F1756F"/>
    <w:rsid w:val="00F177AD"/>
    <w:rsid w:val="00F17912"/>
    <w:rsid w:val="00F17950"/>
    <w:rsid w:val="00F179E8"/>
    <w:rsid w:val="00F17D77"/>
    <w:rsid w:val="00F20285"/>
    <w:rsid w:val="00F202AE"/>
    <w:rsid w:val="00F20767"/>
    <w:rsid w:val="00F20ADE"/>
    <w:rsid w:val="00F20B80"/>
    <w:rsid w:val="00F20E97"/>
    <w:rsid w:val="00F211D9"/>
    <w:rsid w:val="00F21429"/>
    <w:rsid w:val="00F21A59"/>
    <w:rsid w:val="00F21D07"/>
    <w:rsid w:val="00F22094"/>
    <w:rsid w:val="00F2285E"/>
    <w:rsid w:val="00F22B36"/>
    <w:rsid w:val="00F22B63"/>
    <w:rsid w:val="00F22BD6"/>
    <w:rsid w:val="00F23757"/>
    <w:rsid w:val="00F24060"/>
    <w:rsid w:val="00F24567"/>
    <w:rsid w:val="00F24A62"/>
    <w:rsid w:val="00F254E1"/>
    <w:rsid w:val="00F2590D"/>
    <w:rsid w:val="00F2617F"/>
    <w:rsid w:val="00F26575"/>
    <w:rsid w:val="00F265DE"/>
    <w:rsid w:val="00F26730"/>
    <w:rsid w:val="00F26865"/>
    <w:rsid w:val="00F269FF"/>
    <w:rsid w:val="00F3006B"/>
    <w:rsid w:val="00F30199"/>
    <w:rsid w:val="00F30906"/>
    <w:rsid w:val="00F30DC7"/>
    <w:rsid w:val="00F3106C"/>
    <w:rsid w:val="00F31397"/>
    <w:rsid w:val="00F315EF"/>
    <w:rsid w:val="00F3198D"/>
    <w:rsid w:val="00F32E90"/>
    <w:rsid w:val="00F33303"/>
    <w:rsid w:val="00F333D3"/>
    <w:rsid w:val="00F333DD"/>
    <w:rsid w:val="00F34A02"/>
    <w:rsid w:val="00F350EF"/>
    <w:rsid w:val="00F354AE"/>
    <w:rsid w:val="00F36075"/>
    <w:rsid w:val="00F3679E"/>
    <w:rsid w:val="00F37CC4"/>
    <w:rsid w:val="00F37FDB"/>
    <w:rsid w:val="00F4024A"/>
    <w:rsid w:val="00F40487"/>
    <w:rsid w:val="00F4099D"/>
    <w:rsid w:val="00F40C3C"/>
    <w:rsid w:val="00F41984"/>
    <w:rsid w:val="00F41E72"/>
    <w:rsid w:val="00F426F0"/>
    <w:rsid w:val="00F43960"/>
    <w:rsid w:val="00F44297"/>
    <w:rsid w:val="00F44A35"/>
    <w:rsid w:val="00F457F2"/>
    <w:rsid w:val="00F46039"/>
    <w:rsid w:val="00F46120"/>
    <w:rsid w:val="00F462BD"/>
    <w:rsid w:val="00F46317"/>
    <w:rsid w:val="00F46A07"/>
    <w:rsid w:val="00F46A59"/>
    <w:rsid w:val="00F46D5C"/>
    <w:rsid w:val="00F47E61"/>
    <w:rsid w:val="00F507CE"/>
    <w:rsid w:val="00F50D60"/>
    <w:rsid w:val="00F50EEB"/>
    <w:rsid w:val="00F51825"/>
    <w:rsid w:val="00F51A4A"/>
    <w:rsid w:val="00F530C1"/>
    <w:rsid w:val="00F5363D"/>
    <w:rsid w:val="00F53DF8"/>
    <w:rsid w:val="00F53F18"/>
    <w:rsid w:val="00F54140"/>
    <w:rsid w:val="00F542F4"/>
    <w:rsid w:val="00F54524"/>
    <w:rsid w:val="00F54733"/>
    <w:rsid w:val="00F5476F"/>
    <w:rsid w:val="00F54A16"/>
    <w:rsid w:val="00F54F97"/>
    <w:rsid w:val="00F5503E"/>
    <w:rsid w:val="00F55D0E"/>
    <w:rsid w:val="00F562AC"/>
    <w:rsid w:val="00F573BD"/>
    <w:rsid w:val="00F57BD2"/>
    <w:rsid w:val="00F57DE3"/>
    <w:rsid w:val="00F60455"/>
    <w:rsid w:val="00F60783"/>
    <w:rsid w:val="00F60902"/>
    <w:rsid w:val="00F60B2F"/>
    <w:rsid w:val="00F61BA4"/>
    <w:rsid w:val="00F61F05"/>
    <w:rsid w:val="00F62717"/>
    <w:rsid w:val="00F6292B"/>
    <w:rsid w:val="00F62B15"/>
    <w:rsid w:val="00F62EF0"/>
    <w:rsid w:val="00F62F45"/>
    <w:rsid w:val="00F63141"/>
    <w:rsid w:val="00F63653"/>
    <w:rsid w:val="00F63FFE"/>
    <w:rsid w:val="00F6435D"/>
    <w:rsid w:val="00F644C9"/>
    <w:rsid w:val="00F645A6"/>
    <w:rsid w:val="00F64C65"/>
    <w:rsid w:val="00F64D95"/>
    <w:rsid w:val="00F6525C"/>
    <w:rsid w:val="00F65C62"/>
    <w:rsid w:val="00F65D06"/>
    <w:rsid w:val="00F65D0F"/>
    <w:rsid w:val="00F6732D"/>
    <w:rsid w:val="00F67695"/>
    <w:rsid w:val="00F6796D"/>
    <w:rsid w:val="00F706EC"/>
    <w:rsid w:val="00F70876"/>
    <w:rsid w:val="00F70E5A"/>
    <w:rsid w:val="00F71111"/>
    <w:rsid w:val="00F711CE"/>
    <w:rsid w:val="00F724B0"/>
    <w:rsid w:val="00F72E39"/>
    <w:rsid w:val="00F72E6B"/>
    <w:rsid w:val="00F731E9"/>
    <w:rsid w:val="00F735E5"/>
    <w:rsid w:val="00F73B68"/>
    <w:rsid w:val="00F73F1E"/>
    <w:rsid w:val="00F743BE"/>
    <w:rsid w:val="00F743C8"/>
    <w:rsid w:val="00F74839"/>
    <w:rsid w:val="00F74BC7"/>
    <w:rsid w:val="00F74D6C"/>
    <w:rsid w:val="00F74EAC"/>
    <w:rsid w:val="00F758B7"/>
    <w:rsid w:val="00F759DE"/>
    <w:rsid w:val="00F75FDF"/>
    <w:rsid w:val="00F76BB9"/>
    <w:rsid w:val="00F77255"/>
    <w:rsid w:val="00F77504"/>
    <w:rsid w:val="00F778F4"/>
    <w:rsid w:val="00F80049"/>
    <w:rsid w:val="00F801B7"/>
    <w:rsid w:val="00F80D14"/>
    <w:rsid w:val="00F813C1"/>
    <w:rsid w:val="00F819D7"/>
    <w:rsid w:val="00F81E6A"/>
    <w:rsid w:val="00F82B1D"/>
    <w:rsid w:val="00F82F61"/>
    <w:rsid w:val="00F82F69"/>
    <w:rsid w:val="00F833B4"/>
    <w:rsid w:val="00F8442F"/>
    <w:rsid w:val="00F84C40"/>
    <w:rsid w:val="00F84C5B"/>
    <w:rsid w:val="00F84FEE"/>
    <w:rsid w:val="00F85224"/>
    <w:rsid w:val="00F852FB"/>
    <w:rsid w:val="00F859C0"/>
    <w:rsid w:val="00F85B84"/>
    <w:rsid w:val="00F85DF9"/>
    <w:rsid w:val="00F862AA"/>
    <w:rsid w:val="00F86A69"/>
    <w:rsid w:val="00F86C26"/>
    <w:rsid w:val="00F8706D"/>
    <w:rsid w:val="00F8720D"/>
    <w:rsid w:val="00F8727B"/>
    <w:rsid w:val="00F873FE"/>
    <w:rsid w:val="00F87492"/>
    <w:rsid w:val="00F878F1"/>
    <w:rsid w:val="00F87B5E"/>
    <w:rsid w:val="00F90274"/>
    <w:rsid w:val="00F903B9"/>
    <w:rsid w:val="00F9059D"/>
    <w:rsid w:val="00F9060D"/>
    <w:rsid w:val="00F9191B"/>
    <w:rsid w:val="00F92613"/>
    <w:rsid w:val="00F92949"/>
    <w:rsid w:val="00F92E4A"/>
    <w:rsid w:val="00F9331F"/>
    <w:rsid w:val="00F933D1"/>
    <w:rsid w:val="00F93528"/>
    <w:rsid w:val="00F94086"/>
    <w:rsid w:val="00F948B1"/>
    <w:rsid w:val="00F94F9A"/>
    <w:rsid w:val="00F95048"/>
    <w:rsid w:val="00F9589D"/>
    <w:rsid w:val="00F95BF7"/>
    <w:rsid w:val="00F95DD0"/>
    <w:rsid w:val="00F95E55"/>
    <w:rsid w:val="00F9688E"/>
    <w:rsid w:val="00F96C8F"/>
    <w:rsid w:val="00F96F06"/>
    <w:rsid w:val="00F97236"/>
    <w:rsid w:val="00FA05C3"/>
    <w:rsid w:val="00FA0E39"/>
    <w:rsid w:val="00FA1630"/>
    <w:rsid w:val="00FA1733"/>
    <w:rsid w:val="00FA18DF"/>
    <w:rsid w:val="00FA2559"/>
    <w:rsid w:val="00FA29B0"/>
    <w:rsid w:val="00FA2B55"/>
    <w:rsid w:val="00FA3A92"/>
    <w:rsid w:val="00FA3F56"/>
    <w:rsid w:val="00FA40B8"/>
    <w:rsid w:val="00FA4849"/>
    <w:rsid w:val="00FA4E35"/>
    <w:rsid w:val="00FA5B76"/>
    <w:rsid w:val="00FA5BC7"/>
    <w:rsid w:val="00FA5F1B"/>
    <w:rsid w:val="00FA61B9"/>
    <w:rsid w:val="00FA70C3"/>
    <w:rsid w:val="00FA750C"/>
    <w:rsid w:val="00FA7523"/>
    <w:rsid w:val="00FA7D68"/>
    <w:rsid w:val="00FA7FF3"/>
    <w:rsid w:val="00FB09D5"/>
    <w:rsid w:val="00FB0DF9"/>
    <w:rsid w:val="00FB12C4"/>
    <w:rsid w:val="00FB2170"/>
    <w:rsid w:val="00FB27B4"/>
    <w:rsid w:val="00FB3741"/>
    <w:rsid w:val="00FB3804"/>
    <w:rsid w:val="00FB399E"/>
    <w:rsid w:val="00FB3BA2"/>
    <w:rsid w:val="00FB4069"/>
    <w:rsid w:val="00FB47ED"/>
    <w:rsid w:val="00FB50E4"/>
    <w:rsid w:val="00FB550E"/>
    <w:rsid w:val="00FB5545"/>
    <w:rsid w:val="00FB5D91"/>
    <w:rsid w:val="00FB63C4"/>
    <w:rsid w:val="00FB6801"/>
    <w:rsid w:val="00FB693E"/>
    <w:rsid w:val="00FB7009"/>
    <w:rsid w:val="00FB7408"/>
    <w:rsid w:val="00FB7505"/>
    <w:rsid w:val="00FB7C66"/>
    <w:rsid w:val="00FC15DA"/>
    <w:rsid w:val="00FC1862"/>
    <w:rsid w:val="00FC188F"/>
    <w:rsid w:val="00FC1A4E"/>
    <w:rsid w:val="00FC1B40"/>
    <w:rsid w:val="00FC22F9"/>
    <w:rsid w:val="00FC2604"/>
    <w:rsid w:val="00FC28CC"/>
    <w:rsid w:val="00FC4512"/>
    <w:rsid w:val="00FC4CE5"/>
    <w:rsid w:val="00FC5029"/>
    <w:rsid w:val="00FC51B1"/>
    <w:rsid w:val="00FC62B5"/>
    <w:rsid w:val="00FC6338"/>
    <w:rsid w:val="00FC66B4"/>
    <w:rsid w:val="00FC6833"/>
    <w:rsid w:val="00FD0634"/>
    <w:rsid w:val="00FD1521"/>
    <w:rsid w:val="00FD1929"/>
    <w:rsid w:val="00FD214E"/>
    <w:rsid w:val="00FD219C"/>
    <w:rsid w:val="00FD2354"/>
    <w:rsid w:val="00FD2725"/>
    <w:rsid w:val="00FD2C70"/>
    <w:rsid w:val="00FD2CC7"/>
    <w:rsid w:val="00FD3C4A"/>
    <w:rsid w:val="00FD436D"/>
    <w:rsid w:val="00FD594C"/>
    <w:rsid w:val="00FD611B"/>
    <w:rsid w:val="00FD6350"/>
    <w:rsid w:val="00FD644B"/>
    <w:rsid w:val="00FD6844"/>
    <w:rsid w:val="00FD6CBC"/>
    <w:rsid w:val="00FD741A"/>
    <w:rsid w:val="00FD790E"/>
    <w:rsid w:val="00FD7B8D"/>
    <w:rsid w:val="00FD7D4B"/>
    <w:rsid w:val="00FD7EC0"/>
    <w:rsid w:val="00FE058E"/>
    <w:rsid w:val="00FE0B8B"/>
    <w:rsid w:val="00FE0E4C"/>
    <w:rsid w:val="00FE12E9"/>
    <w:rsid w:val="00FE20D8"/>
    <w:rsid w:val="00FE21BC"/>
    <w:rsid w:val="00FE25C1"/>
    <w:rsid w:val="00FE2AD2"/>
    <w:rsid w:val="00FE31C6"/>
    <w:rsid w:val="00FE3485"/>
    <w:rsid w:val="00FE3843"/>
    <w:rsid w:val="00FE402A"/>
    <w:rsid w:val="00FE4692"/>
    <w:rsid w:val="00FE48EA"/>
    <w:rsid w:val="00FE49D6"/>
    <w:rsid w:val="00FE51BC"/>
    <w:rsid w:val="00FE5A35"/>
    <w:rsid w:val="00FE60C7"/>
    <w:rsid w:val="00FE643A"/>
    <w:rsid w:val="00FF04D8"/>
    <w:rsid w:val="00FF140F"/>
    <w:rsid w:val="00FF1F86"/>
    <w:rsid w:val="00FF2402"/>
    <w:rsid w:val="00FF2B75"/>
    <w:rsid w:val="00FF3647"/>
    <w:rsid w:val="00FF3990"/>
    <w:rsid w:val="00FF3BD5"/>
    <w:rsid w:val="00FF3CDC"/>
    <w:rsid w:val="00FF4024"/>
    <w:rsid w:val="00FF41CE"/>
    <w:rsid w:val="00FF48A8"/>
    <w:rsid w:val="00FF48FD"/>
    <w:rsid w:val="00FF4A51"/>
    <w:rsid w:val="00FF4AA6"/>
    <w:rsid w:val="00FF4F50"/>
    <w:rsid w:val="00FF5306"/>
    <w:rsid w:val="00FF5899"/>
    <w:rsid w:val="00FF59AB"/>
    <w:rsid w:val="00FF5CD2"/>
    <w:rsid w:val="00FF5FB8"/>
    <w:rsid w:val="00FF6EE0"/>
    <w:rsid w:val="00FF75B8"/>
    <w:rsid w:val="00FF75F3"/>
    <w:rsid w:val="00FF77A6"/>
    <w:rsid w:val="00FF7C95"/>
    <w:rsid w:val="00FF7DE4"/>
    <w:rsid w:val="01652F5A"/>
    <w:rsid w:val="042977F1"/>
    <w:rsid w:val="05277DFE"/>
    <w:rsid w:val="07B01A04"/>
    <w:rsid w:val="08E85438"/>
    <w:rsid w:val="094A6EC0"/>
    <w:rsid w:val="0E520AF3"/>
    <w:rsid w:val="0F192714"/>
    <w:rsid w:val="0FE0798C"/>
    <w:rsid w:val="11DC68B7"/>
    <w:rsid w:val="12847551"/>
    <w:rsid w:val="13C82A5B"/>
    <w:rsid w:val="167A09B1"/>
    <w:rsid w:val="17223155"/>
    <w:rsid w:val="1B3D2F95"/>
    <w:rsid w:val="1B792ECE"/>
    <w:rsid w:val="1D052942"/>
    <w:rsid w:val="1D8455B3"/>
    <w:rsid w:val="1F055063"/>
    <w:rsid w:val="1F377998"/>
    <w:rsid w:val="21354AC8"/>
    <w:rsid w:val="23917F9A"/>
    <w:rsid w:val="26614179"/>
    <w:rsid w:val="286B61C1"/>
    <w:rsid w:val="29265397"/>
    <w:rsid w:val="2B576C3B"/>
    <w:rsid w:val="2C5C1CB8"/>
    <w:rsid w:val="2EE9563E"/>
    <w:rsid w:val="2EEA1A24"/>
    <w:rsid w:val="2F86236B"/>
    <w:rsid w:val="2FA72F1D"/>
    <w:rsid w:val="303603B4"/>
    <w:rsid w:val="305A39F1"/>
    <w:rsid w:val="318B2990"/>
    <w:rsid w:val="325F602B"/>
    <w:rsid w:val="33085A8C"/>
    <w:rsid w:val="3579095B"/>
    <w:rsid w:val="371C600B"/>
    <w:rsid w:val="388C6CFA"/>
    <w:rsid w:val="38E40535"/>
    <w:rsid w:val="399B6FB2"/>
    <w:rsid w:val="3B352F3F"/>
    <w:rsid w:val="3B6D037E"/>
    <w:rsid w:val="3BE467E9"/>
    <w:rsid w:val="3C1E68E5"/>
    <w:rsid w:val="3D367445"/>
    <w:rsid w:val="3EB41945"/>
    <w:rsid w:val="40667AC7"/>
    <w:rsid w:val="40D96D5D"/>
    <w:rsid w:val="40FD52CA"/>
    <w:rsid w:val="42063F53"/>
    <w:rsid w:val="42C31A5D"/>
    <w:rsid w:val="43000066"/>
    <w:rsid w:val="434D4DCE"/>
    <w:rsid w:val="45383C28"/>
    <w:rsid w:val="469A206C"/>
    <w:rsid w:val="4A035A7D"/>
    <w:rsid w:val="4A674493"/>
    <w:rsid w:val="4C40102C"/>
    <w:rsid w:val="4D4B56F7"/>
    <w:rsid w:val="4E691C94"/>
    <w:rsid w:val="4E980D97"/>
    <w:rsid w:val="51FF1B7F"/>
    <w:rsid w:val="529B6D74"/>
    <w:rsid w:val="52F921A8"/>
    <w:rsid w:val="53E44DB8"/>
    <w:rsid w:val="55AD1EDC"/>
    <w:rsid w:val="56A978FC"/>
    <w:rsid w:val="5706008F"/>
    <w:rsid w:val="5914723F"/>
    <w:rsid w:val="59DC70FA"/>
    <w:rsid w:val="5C6D134C"/>
    <w:rsid w:val="5CD96214"/>
    <w:rsid w:val="61066859"/>
    <w:rsid w:val="61544006"/>
    <w:rsid w:val="622C51F4"/>
    <w:rsid w:val="63A722F1"/>
    <w:rsid w:val="641B4035"/>
    <w:rsid w:val="64221C28"/>
    <w:rsid w:val="64D0476C"/>
    <w:rsid w:val="664D7CE3"/>
    <w:rsid w:val="670F6278"/>
    <w:rsid w:val="69443F0C"/>
    <w:rsid w:val="6ACA4359"/>
    <w:rsid w:val="6B2B4E76"/>
    <w:rsid w:val="6DA1520D"/>
    <w:rsid w:val="6E442F32"/>
    <w:rsid w:val="71A02AA6"/>
    <w:rsid w:val="72F15B47"/>
    <w:rsid w:val="74423AEE"/>
    <w:rsid w:val="75705805"/>
    <w:rsid w:val="757F255A"/>
    <w:rsid w:val="79831DA7"/>
    <w:rsid w:val="79DD4C0A"/>
    <w:rsid w:val="7E513E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startarrow="block" endarrow="block"/>
    </o:shapedefaults>
    <o:shapelayout v:ext="edit">
      <o:idmap v:ext="edit" data="2"/>
      <o:rules v:ext="edit">
        <o:r id="V:Rule1" type="connector" idref="#_x0000_s2154"/>
        <o:r id="V:Rule2" type="connector" idref="#_x0000_s2155"/>
        <o:r id="V:Rule3" type="connector" idref="#_x0000_s2157"/>
        <o:r id="V:Rule4" type="connector" idref="#_x0000_s2161"/>
        <o:r id="V:Rule5" type="connector" idref="#_x0000_s2163"/>
        <o:r id="V:Rule6" type="connector" idref="#_x0000_s2166"/>
        <o:r id="V:Rule7" type="connector" idref="#_x0000_s2172"/>
        <o:r id="V:Rule8" type="connector" idref="#_x0000_s2174"/>
        <o:r id="V:Rule9" type="connector" idref="#_x0000_s2175"/>
        <o:r id="V:Rule10" type="connector" idref="#_x0000_s2178"/>
        <o:r id="V:Rule11" type="connector" idref="#_x0000_s2188"/>
        <o:r id="V:Rule12" type="connector" idref="#_x0000_s2191"/>
        <o:r id="V:Rule13" type="connector" idref="#_x0000_s2206"/>
        <o:r id="V:Rule14" type="connector" idref="#_x0000_s2209"/>
        <o:r id="V:Rule15" type="connector" idref="#_x0000_s2210"/>
        <o:r id="V:Rule16" type="connector" idref="#_x0000_s2211"/>
        <o:r id="V:Rule17" type="connector" idref="#_x0000_s2221"/>
        <o:r id="V:Rule18" type="connector" idref="#_x0000_s2225"/>
        <o:r id="V:Rule19" type="connector" idref="#_x0000_s22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qFormat="1" w:unhideWhenUsed="0" w:uiPriority="0" w:semiHidden="0"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styleId="4">
    <w:name w:val="heading 1"/>
    <w:basedOn w:val="1"/>
    <w:next w:val="1"/>
    <w:link w:val="46"/>
    <w:qFormat/>
    <w:uiPriority w:val="0"/>
    <w:pPr>
      <w:keepNext/>
      <w:keepLines/>
      <w:adjustRightInd w:val="0"/>
      <w:snapToGrid w:val="0"/>
      <w:spacing w:before="120" w:after="120" w:line="240" w:lineRule="atLeast"/>
      <w:ind w:firstLine="0" w:firstLineChars="0"/>
      <w:jc w:val="center"/>
      <w:outlineLvl w:val="0"/>
    </w:pPr>
    <w:rPr>
      <w:rFonts w:ascii="黑体" w:hAnsi="黑体" w:eastAsia="黑体" w:cs="Times New Roman"/>
      <w:bCs/>
      <w:kern w:val="44"/>
      <w:sz w:val="30"/>
      <w:szCs w:val="44"/>
    </w:rPr>
  </w:style>
  <w:style w:type="paragraph" w:styleId="5">
    <w:name w:val="heading 2"/>
    <w:basedOn w:val="1"/>
    <w:next w:val="1"/>
    <w:link w:val="121"/>
    <w:unhideWhenUsed/>
    <w:qFormat/>
    <w:uiPriority w:val="9"/>
    <w:pPr>
      <w:keepNext/>
      <w:keepLines/>
      <w:adjustRightInd w:val="0"/>
      <w:snapToGrid w:val="0"/>
      <w:spacing w:before="100" w:beforeLines="100"/>
      <w:jc w:val="left"/>
      <w:outlineLvl w:val="1"/>
    </w:pPr>
    <w:rPr>
      <w:rFonts w:eastAsia="宋体" w:cs="Times New Roman"/>
      <w:b/>
      <w:bCs/>
      <w:szCs w:val="32"/>
    </w:rPr>
  </w:style>
  <w:style w:type="paragraph" w:styleId="6">
    <w:name w:val="heading 3"/>
    <w:basedOn w:val="1"/>
    <w:next w:val="1"/>
    <w:link w:val="48"/>
    <w:unhideWhenUsed/>
    <w:qFormat/>
    <w:uiPriority w:val="0"/>
    <w:pPr>
      <w:keepNext/>
      <w:keepLines/>
      <w:spacing w:before="260" w:after="260" w:line="416" w:lineRule="auto"/>
      <w:outlineLvl w:val="2"/>
    </w:pPr>
    <w:rPr>
      <w:rFonts w:eastAsia="宋体" w:cs="Times New Roman"/>
      <w:b/>
      <w:bCs/>
      <w:sz w:val="32"/>
      <w:szCs w:val="32"/>
    </w:rPr>
  </w:style>
  <w:style w:type="paragraph" w:styleId="7">
    <w:name w:val="heading 4"/>
    <w:basedOn w:val="1"/>
    <w:next w:val="1"/>
    <w:link w:val="128"/>
    <w:unhideWhenUsed/>
    <w:qFormat/>
    <w:uiPriority w:val="9"/>
    <w:pPr>
      <w:keepNext/>
      <w:keepLines/>
      <w:outlineLvl w:val="3"/>
    </w:pPr>
    <w:rPr>
      <w:rFonts w:eastAsia="宋体" w:cs="Times New Roman"/>
      <w:b/>
      <w:bCs/>
      <w:szCs w:val="28"/>
    </w:rPr>
  </w:style>
  <w:style w:type="paragraph" w:styleId="8">
    <w:name w:val="heading 5"/>
    <w:basedOn w:val="1"/>
    <w:next w:val="1"/>
    <w:link w:val="159"/>
    <w:unhideWhenUsed/>
    <w:qFormat/>
    <w:uiPriority w:val="9"/>
    <w:pPr>
      <w:keepNext/>
      <w:keepLines/>
      <w:spacing w:before="280" w:after="290" w:line="376" w:lineRule="auto"/>
      <w:outlineLvl w:val="4"/>
    </w:pPr>
    <w:rPr>
      <w:b/>
      <w:bCs/>
      <w:sz w:val="28"/>
      <w:szCs w:val="28"/>
    </w:rPr>
  </w:style>
  <w:style w:type="paragraph" w:styleId="9">
    <w:name w:val="heading 6"/>
    <w:basedOn w:val="1"/>
    <w:next w:val="1"/>
    <w:link w:val="160"/>
    <w:unhideWhenUsed/>
    <w:qFormat/>
    <w:uiPriority w:val="9"/>
    <w:pPr>
      <w:keepNext/>
      <w:keepLines/>
      <w:spacing w:before="240" w:after="64" w:line="320" w:lineRule="auto"/>
      <w:outlineLvl w:val="5"/>
    </w:pPr>
    <w:rPr>
      <w:rFonts w:asciiTheme="majorHAnsi" w:hAnsiTheme="majorHAnsi" w:eastAsiaTheme="majorEastAsia" w:cstheme="majorBidi"/>
      <w:b/>
      <w:bCs/>
      <w:szCs w:val="24"/>
    </w:rPr>
  </w:style>
  <w:style w:type="paragraph" w:styleId="10">
    <w:name w:val="heading 7"/>
    <w:basedOn w:val="1"/>
    <w:next w:val="1"/>
    <w:link w:val="161"/>
    <w:unhideWhenUsed/>
    <w:qFormat/>
    <w:uiPriority w:val="9"/>
    <w:pPr>
      <w:keepNext/>
      <w:keepLines/>
      <w:spacing w:before="240" w:after="64" w:line="320" w:lineRule="auto"/>
      <w:outlineLvl w:val="6"/>
    </w:pPr>
    <w:rPr>
      <w:b/>
      <w:bCs/>
      <w:szCs w:val="24"/>
    </w:rPr>
  </w:style>
  <w:style w:type="paragraph" w:styleId="11">
    <w:name w:val="heading 8"/>
    <w:basedOn w:val="1"/>
    <w:next w:val="1"/>
    <w:link w:val="162"/>
    <w:unhideWhenUsed/>
    <w:qFormat/>
    <w:uiPriority w:val="9"/>
    <w:pPr>
      <w:keepNext/>
      <w:keepLines/>
      <w:spacing w:before="240" w:after="64" w:line="320" w:lineRule="auto"/>
      <w:outlineLvl w:val="7"/>
    </w:pPr>
    <w:rPr>
      <w:rFonts w:asciiTheme="majorHAnsi" w:hAnsiTheme="majorHAnsi" w:eastAsiaTheme="majorEastAsia" w:cstheme="majorBidi"/>
      <w:szCs w:val="24"/>
    </w:rPr>
  </w:style>
  <w:style w:type="paragraph" w:styleId="12">
    <w:name w:val="heading 9"/>
    <w:basedOn w:val="1"/>
    <w:next w:val="1"/>
    <w:link w:val="145"/>
    <w:unhideWhenUsed/>
    <w:qFormat/>
    <w:uiPriority w:val="9"/>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79"/>
    <w:unhideWhenUsed/>
    <w:qFormat/>
    <w:uiPriority w:val="0"/>
    <w:pPr>
      <w:ind w:firstLine="420"/>
    </w:pPr>
    <w:rPr>
      <w:rFonts w:eastAsia="宋体"/>
    </w:rPr>
  </w:style>
  <w:style w:type="paragraph" w:styleId="3">
    <w:name w:val="macro"/>
    <w:link w:val="10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Document Map"/>
    <w:basedOn w:val="1"/>
    <w:link w:val="53"/>
    <w:unhideWhenUsed/>
    <w:qFormat/>
    <w:uiPriority w:val="0"/>
    <w:rPr>
      <w:rFonts w:ascii="宋体" w:eastAsia="宋体" w:cs="Times New Roman"/>
      <w:sz w:val="18"/>
      <w:szCs w:val="18"/>
    </w:rPr>
  </w:style>
  <w:style w:type="paragraph" w:styleId="14">
    <w:name w:val="annotation text"/>
    <w:basedOn w:val="1"/>
    <w:link w:val="151"/>
    <w:qFormat/>
    <w:uiPriority w:val="0"/>
    <w:pPr>
      <w:spacing w:line="240" w:lineRule="auto"/>
      <w:ind w:firstLine="0" w:firstLineChars="0"/>
      <w:jc w:val="left"/>
    </w:pPr>
    <w:rPr>
      <w:rFonts w:eastAsia="宋体" w:cs="Times New Roman"/>
      <w:sz w:val="21"/>
      <w:szCs w:val="24"/>
    </w:rPr>
  </w:style>
  <w:style w:type="paragraph" w:styleId="15">
    <w:name w:val="Salutation"/>
    <w:basedOn w:val="1"/>
    <w:next w:val="1"/>
    <w:link w:val="78"/>
    <w:qFormat/>
    <w:uiPriority w:val="0"/>
    <w:pPr>
      <w:widowControl/>
      <w:jc w:val="left"/>
    </w:pPr>
    <w:rPr>
      <w:rFonts w:eastAsia="宋体" w:cs="Times New Roman"/>
      <w:kern w:val="0"/>
      <w:szCs w:val="20"/>
    </w:rPr>
  </w:style>
  <w:style w:type="paragraph" w:styleId="16">
    <w:name w:val="Body Text 3"/>
    <w:basedOn w:val="1"/>
    <w:link w:val="118"/>
    <w:semiHidden/>
    <w:unhideWhenUsed/>
    <w:qFormat/>
    <w:uiPriority w:val="99"/>
    <w:pPr>
      <w:spacing w:after="120"/>
    </w:pPr>
    <w:rPr>
      <w:rFonts w:eastAsia="宋体" w:cs="Times New Roman"/>
      <w:sz w:val="16"/>
      <w:szCs w:val="16"/>
    </w:rPr>
  </w:style>
  <w:style w:type="paragraph" w:styleId="17">
    <w:name w:val="Body Text"/>
    <w:basedOn w:val="1"/>
    <w:link w:val="126"/>
    <w:semiHidden/>
    <w:unhideWhenUsed/>
    <w:qFormat/>
    <w:uiPriority w:val="0"/>
    <w:pPr>
      <w:spacing w:after="120"/>
    </w:pPr>
    <w:rPr>
      <w:rFonts w:eastAsia="宋体"/>
    </w:rPr>
  </w:style>
  <w:style w:type="paragraph" w:styleId="18">
    <w:name w:val="Body Text Indent"/>
    <w:basedOn w:val="1"/>
    <w:link w:val="100"/>
    <w:qFormat/>
    <w:uiPriority w:val="0"/>
    <w:pPr>
      <w:spacing w:after="120"/>
      <w:ind w:left="420" w:leftChars="200"/>
    </w:pPr>
    <w:rPr>
      <w:rFonts w:eastAsia="宋体" w:cs="Times New Roman"/>
      <w:szCs w:val="20"/>
    </w:rPr>
  </w:style>
  <w:style w:type="paragraph" w:styleId="19">
    <w:name w:val="Plain Text"/>
    <w:basedOn w:val="1"/>
    <w:link w:val="127"/>
    <w:unhideWhenUsed/>
    <w:qFormat/>
    <w:uiPriority w:val="0"/>
    <w:rPr>
      <w:rFonts w:ascii="宋体" w:hAnsi="Courier New" w:eastAsia="宋体"/>
      <w:sz w:val="28"/>
      <w:szCs w:val="21"/>
    </w:rPr>
  </w:style>
  <w:style w:type="paragraph" w:styleId="20">
    <w:name w:val="Date"/>
    <w:basedOn w:val="1"/>
    <w:next w:val="1"/>
    <w:link w:val="96"/>
    <w:qFormat/>
    <w:uiPriority w:val="0"/>
    <w:pPr>
      <w:ind w:left="100" w:leftChars="2500"/>
    </w:pPr>
    <w:rPr>
      <w:rFonts w:eastAsia="宋体" w:cs="Times New Roman"/>
      <w:szCs w:val="24"/>
    </w:rPr>
  </w:style>
  <w:style w:type="paragraph" w:styleId="21">
    <w:name w:val="Body Text Indent 2"/>
    <w:basedOn w:val="1"/>
    <w:link w:val="71"/>
    <w:qFormat/>
    <w:uiPriority w:val="0"/>
    <w:pPr>
      <w:spacing w:line="460" w:lineRule="exact"/>
      <w:ind w:firstLine="568" w:firstLineChars="203"/>
    </w:pPr>
    <w:rPr>
      <w:rFonts w:eastAsia="宋体" w:cs="Times New Roman"/>
      <w:sz w:val="28"/>
      <w:szCs w:val="20"/>
    </w:rPr>
  </w:style>
  <w:style w:type="paragraph" w:styleId="22">
    <w:name w:val="Balloon Text"/>
    <w:basedOn w:val="1"/>
    <w:link w:val="115"/>
    <w:qFormat/>
    <w:uiPriority w:val="0"/>
    <w:rPr>
      <w:rFonts w:eastAsia="宋体" w:cs="Times New Roman"/>
      <w:sz w:val="18"/>
      <w:szCs w:val="18"/>
    </w:rPr>
  </w:style>
  <w:style w:type="paragraph" w:styleId="23">
    <w:name w:val="footer"/>
    <w:basedOn w:val="1"/>
    <w:link w:val="45"/>
    <w:unhideWhenUsed/>
    <w:qFormat/>
    <w:uiPriority w:val="99"/>
    <w:pPr>
      <w:tabs>
        <w:tab w:val="center" w:pos="4153"/>
        <w:tab w:val="right" w:pos="8306"/>
      </w:tabs>
      <w:snapToGrid w:val="0"/>
      <w:jc w:val="left"/>
    </w:pPr>
    <w:rPr>
      <w:sz w:val="18"/>
      <w:szCs w:val="18"/>
    </w:rPr>
  </w:style>
  <w:style w:type="paragraph" w:styleId="24">
    <w:name w:val="header"/>
    <w:basedOn w:val="1"/>
    <w:next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rPr>
      <w:rFonts w:eastAsia="宋体" w:cs="Times New Roman"/>
      <w:szCs w:val="24"/>
    </w:rPr>
  </w:style>
  <w:style w:type="paragraph" w:styleId="26">
    <w:name w:val="Subtitle"/>
    <w:basedOn w:val="1"/>
    <w:next w:val="1"/>
    <w:link w:val="125"/>
    <w:qFormat/>
    <w:uiPriority w:val="0"/>
    <w:pPr>
      <w:spacing w:before="240" w:after="60" w:line="312" w:lineRule="auto"/>
      <w:jc w:val="center"/>
      <w:outlineLvl w:val="1"/>
    </w:pPr>
    <w:rPr>
      <w:rFonts w:eastAsia="宋体" w:cs="Times New Roman"/>
      <w:b/>
      <w:bCs/>
      <w:kern w:val="28"/>
      <w:szCs w:val="32"/>
    </w:rPr>
  </w:style>
  <w:style w:type="paragraph" w:styleId="27">
    <w:name w:val="Body Text Indent 3"/>
    <w:basedOn w:val="1"/>
    <w:link w:val="103"/>
    <w:qFormat/>
    <w:uiPriority w:val="0"/>
    <w:pPr>
      <w:spacing w:after="120"/>
      <w:ind w:left="420" w:leftChars="200"/>
    </w:pPr>
    <w:rPr>
      <w:rFonts w:eastAsia="宋体" w:cs="Times New Roman"/>
      <w:sz w:val="16"/>
      <w:szCs w:val="16"/>
    </w:rPr>
  </w:style>
  <w:style w:type="paragraph" w:styleId="28">
    <w:name w:val="toc 2"/>
    <w:basedOn w:val="1"/>
    <w:next w:val="1"/>
    <w:qFormat/>
    <w:uiPriority w:val="39"/>
    <w:pPr>
      <w:ind w:left="420" w:leftChars="200"/>
    </w:pPr>
    <w:rPr>
      <w:rFonts w:eastAsia="宋体" w:cs="Times New Roman"/>
      <w:szCs w:val="24"/>
    </w:rPr>
  </w:style>
  <w:style w:type="paragraph" w:styleId="29">
    <w:name w:val="Body Text 2"/>
    <w:basedOn w:val="1"/>
    <w:link w:val="70"/>
    <w:qFormat/>
    <w:uiPriority w:val="0"/>
    <w:pPr>
      <w:spacing w:after="120" w:line="480" w:lineRule="auto"/>
    </w:pPr>
    <w:rPr>
      <w:rFonts w:eastAsia="宋体" w:cs="Times New Roman"/>
      <w:szCs w:val="20"/>
    </w:rPr>
  </w:style>
  <w:style w:type="paragraph" w:styleId="30">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Cs w:val="24"/>
    </w:rPr>
  </w:style>
  <w:style w:type="paragraph" w:styleId="31">
    <w:name w:val="Normal (Web)"/>
    <w:basedOn w:val="1"/>
    <w:link w:val="175"/>
    <w:qFormat/>
    <w:uiPriority w:val="0"/>
    <w:pPr>
      <w:widowControl/>
      <w:spacing w:before="100" w:beforeAutospacing="1" w:after="100" w:afterAutospacing="1"/>
      <w:jc w:val="left"/>
    </w:pPr>
    <w:rPr>
      <w:rFonts w:ascii="Arial Unicode MS" w:hAnsi="Arial Unicode MS" w:eastAsia="Arial Unicode MS" w:cs="Arial Unicode MS"/>
      <w:kern w:val="0"/>
      <w:szCs w:val="24"/>
    </w:rPr>
  </w:style>
  <w:style w:type="paragraph" w:styleId="32">
    <w:name w:val="index 1"/>
    <w:basedOn w:val="1"/>
    <w:next w:val="1"/>
    <w:qFormat/>
    <w:uiPriority w:val="0"/>
    <w:pPr>
      <w:tabs>
        <w:tab w:val="left" w:pos="5580"/>
      </w:tabs>
      <w:spacing w:line="280" w:lineRule="exact"/>
    </w:pPr>
    <w:rPr>
      <w:rFonts w:ascii="宋体" w:hAnsi="宋体" w:eastAsia="宋体" w:cs="Times New Roman"/>
      <w:spacing w:val="10"/>
      <w:szCs w:val="24"/>
    </w:rPr>
  </w:style>
  <w:style w:type="paragraph" w:styleId="33">
    <w:name w:val="Title"/>
    <w:basedOn w:val="1"/>
    <w:next w:val="1"/>
    <w:link w:val="153"/>
    <w:qFormat/>
    <w:uiPriority w:val="10"/>
    <w:pPr>
      <w:spacing w:before="280" w:after="60" w:line="260" w:lineRule="exact"/>
      <w:outlineLvl w:val="2"/>
    </w:pPr>
    <w:rPr>
      <w:rFonts w:eastAsia="宋体" w:cstheme="majorBidi"/>
      <w:b/>
      <w:bCs/>
      <w:snapToGrid w:val="0"/>
      <w:kern w:val="0"/>
      <w:szCs w:val="32"/>
    </w:rPr>
  </w:style>
  <w:style w:type="paragraph" w:styleId="34">
    <w:name w:val="Body Text First Indent"/>
    <w:basedOn w:val="17"/>
    <w:next w:val="1"/>
    <w:link w:val="132"/>
    <w:unhideWhenUsed/>
    <w:qFormat/>
    <w:uiPriority w:val="99"/>
    <w:pPr>
      <w:ind w:firstLine="420" w:firstLineChars="100"/>
    </w:pPr>
    <w:rPr>
      <w:rFonts w:eastAsiaTheme="minorEastAsia"/>
    </w:rPr>
  </w:style>
  <w:style w:type="paragraph" w:styleId="35">
    <w:name w:val="Body Text First Indent 2"/>
    <w:basedOn w:val="18"/>
    <w:link w:val="180"/>
    <w:semiHidden/>
    <w:unhideWhenUsed/>
    <w:qFormat/>
    <w:uiPriority w:val="99"/>
    <w:pPr>
      <w:ind w:firstLine="420"/>
    </w:pPr>
    <w:rPr>
      <w:rFonts w:eastAsiaTheme="minorEastAsia" w:cstheme="minorBidi"/>
      <w:szCs w:val="22"/>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bCs/>
    </w:rPr>
  </w:style>
  <w:style w:type="character" w:styleId="40">
    <w:name w:val="page number"/>
    <w:basedOn w:val="38"/>
    <w:qFormat/>
    <w:uiPriority w:val="0"/>
  </w:style>
  <w:style w:type="character" w:styleId="41">
    <w:name w:val="Emphasis"/>
    <w:basedOn w:val="38"/>
    <w:qFormat/>
    <w:uiPriority w:val="0"/>
    <w:rPr>
      <w:color w:val="CC0000"/>
    </w:rPr>
  </w:style>
  <w:style w:type="character" w:styleId="42">
    <w:name w:val="Hyperlink"/>
    <w:basedOn w:val="38"/>
    <w:qFormat/>
    <w:uiPriority w:val="99"/>
    <w:rPr>
      <w:color w:val="0000FF"/>
      <w:u w:val="single"/>
    </w:rPr>
  </w:style>
  <w:style w:type="character" w:styleId="43">
    <w:name w:val="annotation reference"/>
    <w:basedOn w:val="38"/>
    <w:qFormat/>
    <w:uiPriority w:val="0"/>
    <w:rPr>
      <w:sz w:val="21"/>
      <w:szCs w:val="21"/>
    </w:rPr>
  </w:style>
  <w:style w:type="character" w:customStyle="1" w:styleId="44">
    <w:name w:val="页眉 字符"/>
    <w:basedOn w:val="38"/>
    <w:link w:val="24"/>
    <w:qFormat/>
    <w:uiPriority w:val="99"/>
    <w:rPr>
      <w:sz w:val="18"/>
      <w:szCs w:val="18"/>
    </w:rPr>
  </w:style>
  <w:style w:type="character" w:customStyle="1" w:styleId="45">
    <w:name w:val="页脚 字符"/>
    <w:basedOn w:val="38"/>
    <w:link w:val="23"/>
    <w:qFormat/>
    <w:uiPriority w:val="99"/>
    <w:rPr>
      <w:sz w:val="18"/>
      <w:szCs w:val="18"/>
    </w:rPr>
  </w:style>
  <w:style w:type="character" w:customStyle="1" w:styleId="46">
    <w:name w:val="标题 1 字符"/>
    <w:basedOn w:val="38"/>
    <w:link w:val="4"/>
    <w:qFormat/>
    <w:uiPriority w:val="0"/>
    <w:rPr>
      <w:rFonts w:ascii="黑体" w:hAnsi="黑体" w:eastAsia="黑体" w:cs="Times New Roman"/>
      <w:bCs/>
      <w:kern w:val="44"/>
      <w:sz w:val="30"/>
      <w:szCs w:val="44"/>
    </w:rPr>
  </w:style>
  <w:style w:type="paragraph" w:customStyle="1" w:styleId="47">
    <w:name w:val="二级标题1"/>
    <w:basedOn w:val="1"/>
    <w:next w:val="1"/>
    <w:unhideWhenUsed/>
    <w:qFormat/>
    <w:uiPriority w:val="0"/>
    <w:pPr>
      <w:keepNext/>
      <w:keepLines/>
      <w:adjustRightInd w:val="0"/>
      <w:snapToGrid w:val="0"/>
      <w:spacing w:before="240"/>
      <w:outlineLvl w:val="1"/>
    </w:pPr>
    <w:rPr>
      <w:rFonts w:eastAsia="宋体" w:cs="Times New Roman"/>
      <w:b/>
      <w:bCs/>
      <w:szCs w:val="32"/>
    </w:rPr>
  </w:style>
  <w:style w:type="character" w:customStyle="1" w:styleId="48">
    <w:name w:val="标题 3 字符"/>
    <w:basedOn w:val="38"/>
    <w:link w:val="6"/>
    <w:qFormat/>
    <w:uiPriority w:val="0"/>
    <w:rPr>
      <w:rFonts w:ascii="Times New Roman" w:hAnsi="Times New Roman" w:eastAsia="宋体" w:cs="Times New Roman"/>
      <w:b/>
      <w:bCs/>
      <w:sz w:val="32"/>
      <w:szCs w:val="32"/>
    </w:rPr>
  </w:style>
  <w:style w:type="paragraph" w:customStyle="1" w:styleId="49">
    <w:name w:val="标题123"/>
    <w:basedOn w:val="1"/>
    <w:next w:val="1"/>
    <w:unhideWhenUsed/>
    <w:qFormat/>
    <w:uiPriority w:val="9"/>
    <w:pPr>
      <w:keepNext/>
      <w:keepLines/>
      <w:adjustRightInd w:val="0"/>
      <w:snapToGrid w:val="0"/>
      <w:spacing w:before="240" w:after="120" w:line="240" w:lineRule="auto"/>
      <w:ind w:firstLine="482"/>
      <w:jc w:val="left"/>
      <w:outlineLvl w:val="2"/>
    </w:pPr>
    <w:rPr>
      <w:rFonts w:eastAsia="宋体" w:cs="Times New Roman" w:asciiTheme="majorHAnsi" w:hAnsiTheme="majorHAnsi"/>
      <w:b/>
      <w:bCs/>
      <w:snapToGrid w:val="0"/>
      <w:kern w:val="0"/>
      <w:szCs w:val="28"/>
    </w:rPr>
  </w:style>
  <w:style w:type="character" w:customStyle="1" w:styleId="50">
    <w:name w:val="标题 2 Char"/>
    <w:basedOn w:val="38"/>
    <w:qFormat/>
    <w:uiPriority w:val="9"/>
    <w:rPr>
      <w:rFonts w:ascii="Times New Roman" w:hAnsi="Times New Roman" w:eastAsia="宋体" w:cs="Times New Roman"/>
      <w:b/>
      <w:bCs/>
      <w:sz w:val="28"/>
      <w:szCs w:val="32"/>
    </w:rPr>
  </w:style>
  <w:style w:type="paragraph" w:customStyle="1" w:styleId="51">
    <w:name w:val="TOC 标题1"/>
    <w:basedOn w:val="4"/>
    <w:next w:val="1"/>
    <w:unhideWhenUsed/>
    <w:qFormat/>
    <w:uiPriority w:val="39"/>
    <w:pPr>
      <w:outlineLvl w:val="9"/>
    </w:pPr>
  </w:style>
  <w:style w:type="paragraph" w:customStyle="1" w:styleId="52">
    <w:name w:val="表格单倍"/>
    <w:basedOn w:val="1"/>
    <w:next w:val="1"/>
    <w:qFormat/>
    <w:uiPriority w:val="0"/>
    <w:pPr>
      <w:autoSpaceDE w:val="0"/>
      <w:autoSpaceDN w:val="0"/>
      <w:adjustRightInd w:val="0"/>
      <w:snapToGrid w:val="0"/>
      <w:spacing w:line="240" w:lineRule="auto"/>
      <w:ind w:firstLine="0" w:firstLineChars="0"/>
      <w:jc w:val="center"/>
      <w:textAlignment w:val="baseline"/>
    </w:pPr>
    <w:rPr>
      <w:rFonts w:eastAsia="宋体" w:cs="Times New Roman"/>
      <w:kern w:val="24"/>
      <w:sz w:val="21"/>
      <w:szCs w:val="20"/>
    </w:rPr>
  </w:style>
  <w:style w:type="character" w:customStyle="1" w:styleId="53">
    <w:name w:val="文档结构图 字符"/>
    <w:basedOn w:val="38"/>
    <w:link w:val="13"/>
    <w:qFormat/>
    <w:uiPriority w:val="0"/>
    <w:rPr>
      <w:rFonts w:ascii="宋体" w:hAnsi="Times New Roman" w:eastAsia="宋体" w:cs="Times New Roman"/>
      <w:sz w:val="18"/>
      <w:szCs w:val="18"/>
    </w:rPr>
  </w:style>
  <w:style w:type="paragraph" w:customStyle="1" w:styleId="54">
    <w:name w:val="明显引用1"/>
    <w:basedOn w:val="1"/>
    <w:next w:val="1"/>
    <w:qFormat/>
    <w:uiPriority w:val="30"/>
    <w:pPr>
      <w:pBdr>
        <w:bottom w:val="single" w:color="4F81BD" w:sz="4" w:space="4"/>
      </w:pBdr>
      <w:spacing w:before="200" w:after="280"/>
      <w:ind w:left="936" w:right="936"/>
    </w:pPr>
    <w:rPr>
      <w:rFonts w:eastAsia="宋体" w:cs="Times New Roman"/>
      <w:b/>
      <w:bCs/>
      <w:i/>
      <w:iCs/>
      <w:color w:val="4F81BD"/>
      <w:szCs w:val="20"/>
    </w:rPr>
  </w:style>
  <w:style w:type="character" w:customStyle="1" w:styleId="55">
    <w:name w:val="明显引用 Char"/>
    <w:basedOn w:val="38"/>
    <w:qFormat/>
    <w:uiPriority w:val="30"/>
    <w:rPr>
      <w:rFonts w:ascii="Times New Roman" w:hAnsi="Times New Roman" w:eastAsia="宋体" w:cs="Times New Roman"/>
      <w:b/>
      <w:bCs/>
      <w:i/>
      <w:iCs/>
      <w:color w:val="4F81BD"/>
      <w:sz w:val="24"/>
      <w:szCs w:val="20"/>
    </w:rPr>
  </w:style>
  <w:style w:type="paragraph" w:styleId="56">
    <w:name w:val="Intense Quote"/>
    <w:basedOn w:val="1"/>
    <w:next w:val="1"/>
    <w:link w:val="122"/>
    <w:qFormat/>
    <w:uiPriority w:val="30"/>
    <w:pPr>
      <w:pBdr>
        <w:bottom w:val="single" w:color="4F81BD" w:themeColor="accent1" w:sz="4" w:space="4"/>
      </w:pBdr>
      <w:spacing w:before="200" w:after="280"/>
      <w:ind w:left="936" w:right="936"/>
    </w:pPr>
    <w:rPr>
      <w:rFonts w:eastAsia="宋体" w:cs="Times New Roman"/>
      <w:b/>
      <w:bCs/>
      <w:i/>
      <w:iCs/>
      <w:color w:val="4F81BD"/>
      <w:szCs w:val="20"/>
    </w:rPr>
  </w:style>
  <w:style w:type="paragraph" w:styleId="57">
    <w:name w:val="List Paragraph"/>
    <w:basedOn w:val="1"/>
    <w:qFormat/>
    <w:uiPriority w:val="34"/>
    <w:pPr>
      <w:ind w:firstLine="420"/>
    </w:pPr>
    <w:rPr>
      <w:rFonts w:eastAsia="宋体" w:cs="Times New Roman"/>
      <w:szCs w:val="20"/>
    </w:rPr>
  </w:style>
  <w:style w:type="character" w:customStyle="1" w:styleId="58">
    <w:name w:val="书籍标题1"/>
    <w:basedOn w:val="38"/>
    <w:qFormat/>
    <w:uiPriority w:val="33"/>
    <w:rPr>
      <w:b/>
      <w:bCs/>
      <w:smallCaps/>
      <w:spacing w:val="5"/>
    </w:rPr>
  </w:style>
  <w:style w:type="character" w:customStyle="1" w:styleId="59">
    <w:name w:val="明显参考1"/>
    <w:basedOn w:val="38"/>
    <w:qFormat/>
    <w:uiPriority w:val="32"/>
    <w:rPr>
      <w:b/>
      <w:bCs/>
      <w:smallCaps/>
      <w:color w:val="C0504D"/>
      <w:spacing w:val="5"/>
      <w:u w:val="single"/>
    </w:rPr>
  </w:style>
  <w:style w:type="character" w:customStyle="1" w:styleId="60">
    <w:name w:val="不明显参考1"/>
    <w:basedOn w:val="38"/>
    <w:qFormat/>
    <w:uiPriority w:val="31"/>
    <w:rPr>
      <w:smallCaps/>
      <w:color w:val="C0504D"/>
      <w:u w:val="single"/>
    </w:rPr>
  </w:style>
  <w:style w:type="character" w:customStyle="1" w:styleId="61">
    <w:name w:val="不明显强调1"/>
    <w:basedOn w:val="62"/>
    <w:qFormat/>
    <w:uiPriority w:val="19"/>
    <w:rPr>
      <w:rFonts w:ascii="Times New Roman" w:hAnsi="Times New Roman" w:eastAsia="宋体" w:cs="Times New Roman"/>
      <w:b/>
      <w:iCs/>
      <w:color w:val="auto"/>
      <w:sz w:val="18"/>
      <w:szCs w:val="20"/>
      <w:vertAlign w:val="baseline"/>
    </w:rPr>
  </w:style>
  <w:style w:type="character" w:customStyle="1" w:styleId="62">
    <w:name w:val="正文（首行缩进两字）m Char"/>
    <w:link w:val="63"/>
    <w:qFormat/>
    <w:uiPriority w:val="0"/>
    <w:rPr>
      <w:rFonts w:ascii="Times New Roman" w:hAnsi="Times New Roman" w:eastAsia="宋体" w:cs="Times New Roman"/>
      <w:color w:val="339966"/>
      <w:sz w:val="24"/>
      <w:szCs w:val="20"/>
    </w:rPr>
  </w:style>
  <w:style w:type="paragraph" w:customStyle="1" w:styleId="63">
    <w:name w:val="正文（首行缩进两字）m"/>
    <w:basedOn w:val="2"/>
    <w:link w:val="62"/>
    <w:qFormat/>
    <w:uiPriority w:val="0"/>
    <w:pPr>
      <w:tabs>
        <w:tab w:val="left" w:pos="1848"/>
        <w:tab w:val="left" w:pos="6061"/>
        <w:tab w:val="left" w:pos="8665"/>
      </w:tabs>
      <w:adjustRightInd w:val="0"/>
      <w:snapToGrid w:val="0"/>
      <w:spacing w:beforeLines="50" w:line="460" w:lineRule="exact"/>
      <w:ind w:firstLine="480"/>
    </w:pPr>
    <w:rPr>
      <w:rFonts w:cs="Times New Roman"/>
      <w:color w:val="339966"/>
      <w:szCs w:val="20"/>
    </w:rPr>
  </w:style>
  <w:style w:type="table" w:customStyle="1" w:styleId="64">
    <w:name w:val="报告表表格"/>
    <w:basedOn w:val="36"/>
    <w:qFormat/>
    <w:uiPriority w:val="99"/>
    <w:rPr>
      <w:szCs w:val="21"/>
    </w:rPr>
  </w:style>
  <w:style w:type="table" w:customStyle="1" w:styleId="65">
    <w:name w:val="我的表格"/>
    <w:basedOn w:val="36"/>
    <w:qFormat/>
    <w:uiPriority w:val="99"/>
    <w:rPr>
      <w:szCs w:val="21"/>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paragraph" w:customStyle="1" w:styleId="66">
    <w:name w:val="表题1"/>
    <w:basedOn w:val="1"/>
    <w:next w:val="1"/>
    <w:qFormat/>
    <w:uiPriority w:val="0"/>
    <w:pPr>
      <w:keepNext/>
      <w:pageBreakBefore/>
      <w:snapToGrid w:val="0"/>
      <w:spacing w:before="120" w:after="60" w:line="240" w:lineRule="exact"/>
      <w:ind w:firstLine="0" w:firstLineChars="0"/>
      <w:jc w:val="center"/>
      <w:outlineLvl w:val="4"/>
    </w:pPr>
    <w:rPr>
      <w:rFonts w:eastAsia="宋体" w:cs="Times New Roman"/>
      <w:b/>
      <w:bCs/>
      <w:kern w:val="28"/>
      <w:szCs w:val="32"/>
    </w:rPr>
  </w:style>
  <w:style w:type="character" w:customStyle="1" w:styleId="67">
    <w:name w:val="副标题 Char"/>
    <w:basedOn w:val="38"/>
    <w:qFormat/>
    <w:uiPriority w:val="0"/>
    <w:rPr>
      <w:rFonts w:ascii="Times New Roman" w:hAnsi="Times New Roman" w:eastAsia="宋体" w:cs="Times New Roman"/>
      <w:b/>
      <w:bCs/>
      <w:kern w:val="28"/>
      <w:szCs w:val="32"/>
    </w:rPr>
  </w:style>
  <w:style w:type="character" w:customStyle="1" w:styleId="68">
    <w:name w:val="正文文本 Char"/>
    <w:basedOn w:val="38"/>
    <w:qFormat/>
    <w:uiPriority w:val="0"/>
    <w:rPr>
      <w:rFonts w:eastAsia="宋体"/>
    </w:rPr>
  </w:style>
  <w:style w:type="paragraph" w:customStyle="1" w:styleId="69">
    <w:name w:val="正文文本1"/>
    <w:basedOn w:val="1"/>
    <w:next w:val="17"/>
    <w:qFormat/>
    <w:uiPriority w:val="0"/>
    <w:pPr>
      <w:spacing w:after="120"/>
    </w:pPr>
    <w:rPr>
      <w:rFonts w:eastAsia="宋体"/>
    </w:rPr>
  </w:style>
  <w:style w:type="character" w:customStyle="1" w:styleId="70">
    <w:name w:val="正文文本 2 字符"/>
    <w:basedOn w:val="38"/>
    <w:link w:val="29"/>
    <w:qFormat/>
    <w:uiPriority w:val="0"/>
    <w:rPr>
      <w:rFonts w:ascii="Times New Roman" w:hAnsi="Times New Roman" w:eastAsia="宋体" w:cs="Times New Roman"/>
      <w:szCs w:val="20"/>
    </w:rPr>
  </w:style>
  <w:style w:type="character" w:customStyle="1" w:styleId="71">
    <w:name w:val="正文文本缩进 2 字符"/>
    <w:basedOn w:val="38"/>
    <w:link w:val="21"/>
    <w:qFormat/>
    <w:uiPriority w:val="0"/>
    <w:rPr>
      <w:rFonts w:ascii="Times New Roman" w:hAnsi="Times New Roman" w:eastAsia="宋体" w:cs="Times New Roman"/>
      <w:sz w:val="28"/>
      <w:szCs w:val="20"/>
    </w:rPr>
  </w:style>
  <w:style w:type="character" w:customStyle="1" w:styleId="72">
    <w:name w:val="正文文本 Char1"/>
    <w:basedOn w:val="38"/>
    <w:semiHidden/>
    <w:qFormat/>
    <w:uiPriority w:val="99"/>
    <w:rPr>
      <w:rFonts w:ascii="Times New Roman" w:hAnsi="Times New Roman" w:eastAsia="宋体" w:cs="Times New Roman"/>
      <w:sz w:val="24"/>
      <w:szCs w:val="20"/>
    </w:rPr>
  </w:style>
  <w:style w:type="paragraph" w:customStyle="1" w:styleId="73">
    <w:name w:val="正文▲"/>
    <w:link w:val="74"/>
    <w:qFormat/>
    <w:uiPriority w:val="0"/>
    <w:pPr>
      <w:spacing w:line="360" w:lineRule="auto"/>
      <w:ind w:firstLine="200" w:firstLineChars="200"/>
    </w:pPr>
    <w:rPr>
      <w:rFonts w:ascii="Times New Roman" w:hAnsi="Times New Roman" w:eastAsia="宋体" w:cs="Times New Roman"/>
      <w:color w:val="000000"/>
      <w:kern w:val="2"/>
      <w:sz w:val="24"/>
      <w:szCs w:val="24"/>
      <w:lang w:val="en-US" w:eastAsia="zh-CN" w:bidi="ar-SA"/>
    </w:rPr>
  </w:style>
  <w:style w:type="character" w:customStyle="1" w:styleId="74">
    <w:name w:val="正文▲ Char"/>
    <w:link w:val="73"/>
    <w:qFormat/>
    <w:uiPriority w:val="0"/>
    <w:rPr>
      <w:rFonts w:ascii="Times New Roman" w:hAnsi="Times New Roman" w:eastAsia="宋体" w:cs="Times New Roman"/>
      <w:color w:val="000000"/>
      <w:sz w:val="24"/>
      <w:szCs w:val="24"/>
    </w:rPr>
  </w:style>
  <w:style w:type="paragraph" w:customStyle="1" w:styleId="75">
    <w:name w:val="环评正文1"/>
    <w:basedOn w:val="1"/>
    <w:qFormat/>
    <w:uiPriority w:val="0"/>
    <w:rPr>
      <w:rFonts w:eastAsia="宋体" w:cs="Times New Roman"/>
    </w:rPr>
  </w:style>
  <w:style w:type="paragraph" w:customStyle="1" w:styleId="76">
    <w:name w:val="表格1.5行距"/>
    <w:basedOn w:val="77"/>
    <w:next w:val="16"/>
    <w:qFormat/>
    <w:uiPriority w:val="0"/>
    <w:pPr>
      <w:adjustRightInd w:val="0"/>
      <w:snapToGrid w:val="0"/>
      <w:spacing w:line="360" w:lineRule="auto"/>
    </w:pPr>
  </w:style>
  <w:style w:type="paragraph" w:customStyle="1" w:styleId="77">
    <w:name w:val="表格"/>
    <w:basedOn w:val="1"/>
    <w:next w:val="1"/>
    <w:link w:val="111"/>
    <w:qFormat/>
    <w:uiPriority w:val="0"/>
    <w:pPr>
      <w:spacing w:line="400" w:lineRule="exact"/>
      <w:jc w:val="center"/>
    </w:pPr>
    <w:rPr>
      <w:bCs/>
    </w:rPr>
  </w:style>
  <w:style w:type="character" w:customStyle="1" w:styleId="78">
    <w:name w:val="称呼 字符"/>
    <w:basedOn w:val="38"/>
    <w:link w:val="15"/>
    <w:qFormat/>
    <w:uiPriority w:val="0"/>
    <w:rPr>
      <w:rFonts w:ascii="Times New Roman" w:hAnsi="Times New Roman" w:eastAsia="宋体" w:cs="Times New Roman"/>
      <w:kern w:val="0"/>
      <w:sz w:val="24"/>
      <w:szCs w:val="20"/>
    </w:rPr>
  </w:style>
  <w:style w:type="character" w:customStyle="1" w:styleId="79">
    <w:name w:val="正文缩进 字符"/>
    <w:basedOn w:val="38"/>
    <w:link w:val="2"/>
    <w:qFormat/>
    <w:uiPriority w:val="0"/>
    <w:rPr>
      <w:rFonts w:eastAsia="宋体"/>
      <w:sz w:val="24"/>
    </w:rPr>
  </w:style>
  <w:style w:type="paragraph" w:customStyle="1" w:styleId="80">
    <w:name w:val="正文（首行缩进两字）11"/>
    <w:basedOn w:val="1"/>
    <w:next w:val="2"/>
    <w:qFormat/>
    <w:uiPriority w:val="0"/>
    <w:pPr>
      <w:ind w:firstLine="420"/>
    </w:pPr>
    <w:rPr>
      <w:rFonts w:eastAsia="宋体"/>
    </w:rPr>
  </w:style>
  <w:style w:type="paragraph" w:styleId="81">
    <w:name w:val="No Spacing"/>
    <w:link w:val="82"/>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82">
    <w:name w:val="无间隔 字符"/>
    <w:link w:val="81"/>
    <w:qFormat/>
    <w:uiPriority w:val="0"/>
    <w:rPr>
      <w:rFonts w:ascii="Times New Roman" w:hAnsi="Times New Roman" w:eastAsia="宋体" w:cs="Times New Roman"/>
      <w:szCs w:val="21"/>
    </w:rPr>
  </w:style>
  <w:style w:type="character" w:customStyle="1" w:styleId="83">
    <w:name w:val="纯文本 Char"/>
    <w:basedOn w:val="38"/>
    <w:qFormat/>
    <w:uiPriority w:val="0"/>
    <w:rPr>
      <w:rFonts w:ascii="宋体" w:hAnsi="Courier New" w:eastAsia="宋体"/>
      <w:sz w:val="28"/>
      <w:szCs w:val="21"/>
    </w:rPr>
  </w:style>
  <w:style w:type="paragraph" w:customStyle="1" w:styleId="84">
    <w:name w:val="表内文字1"/>
    <w:basedOn w:val="1"/>
    <w:next w:val="19"/>
    <w:qFormat/>
    <w:uiPriority w:val="0"/>
    <w:pPr>
      <w:spacing w:line="240" w:lineRule="atLeast"/>
    </w:pPr>
    <w:rPr>
      <w:rFonts w:ascii="宋体" w:hAnsi="Courier New" w:eastAsia="宋体"/>
      <w:sz w:val="28"/>
      <w:szCs w:val="21"/>
    </w:rPr>
  </w:style>
  <w:style w:type="character" w:customStyle="1" w:styleId="85">
    <w:name w:val="纯文本 Char1"/>
    <w:basedOn w:val="38"/>
    <w:semiHidden/>
    <w:qFormat/>
    <w:uiPriority w:val="99"/>
    <w:rPr>
      <w:rFonts w:ascii="宋体" w:hAnsi="Courier New" w:eastAsia="宋体" w:cs="Courier New"/>
      <w:szCs w:val="21"/>
    </w:rPr>
  </w:style>
  <w:style w:type="character" w:customStyle="1" w:styleId="86">
    <w:name w:val="fs"/>
    <w:basedOn w:val="38"/>
    <w:qFormat/>
    <w:uiPriority w:val="0"/>
  </w:style>
  <w:style w:type="character" w:customStyle="1" w:styleId="87">
    <w:name w:val="textcontents"/>
    <w:basedOn w:val="38"/>
    <w:qFormat/>
    <w:uiPriority w:val="0"/>
  </w:style>
  <w:style w:type="character" w:customStyle="1" w:styleId="88">
    <w:name w:val="msoins"/>
    <w:basedOn w:val="38"/>
    <w:qFormat/>
    <w:uiPriority w:val="0"/>
  </w:style>
  <w:style w:type="paragraph" w:customStyle="1" w:styleId="89">
    <w:name w:val="默认段落字体 Para Char Char Char Char"/>
    <w:basedOn w:val="1"/>
    <w:qFormat/>
    <w:uiPriority w:val="0"/>
    <w:rPr>
      <w:rFonts w:eastAsia="宋体" w:cs="Times New Roman"/>
      <w:szCs w:val="24"/>
    </w:rPr>
  </w:style>
  <w:style w:type="paragraph" w:customStyle="1" w:styleId="90">
    <w:name w:val="正文(首行缩进)"/>
    <w:basedOn w:val="1"/>
    <w:qFormat/>
    <w:uiPriority w:val="0"/>
    <w:pPr>
      <w:tabs>
        <w:tab w:val="left" w:pos="6678"/>
      </w:tabs>
      <w:ind w:firstLine="630" w:firstLineChars="225"/>
    </w:pPr>
    <w:rPr>
      <w:rFonts w:ascii="宋体" w:hAnsi="宋体" w:eastAsia="宋体" w:cs="Times New Roman"/>
      <w:snapToGrid w:val="0"/>
      <w:color w:val="FF0000"/>
      <w:sz w:val="28"/>
      <w:szCs w:val="28"/>
    </w:rPr>
  </w:style>
  <w:style w:type="paragraph" w:customStyle="1" w:styleId="91">
    <w:name w:val="正文2"/>
    <w:basedOn w:val="1"/>
    <w:qFormat/>
    <w:uiPriority w:val="0"/>
    <w:pPr>
      <w:snapToGrid w:val="0"/>
      <w:spacing w:line="500" w:lineRule="atLeast"/>
      <w:ind w:firstLine="567"/>
    </w:pPr>
    <w:rPr>
      <w:rFonts w:eastAsia="宋体" w:cs="Times New Roman"/>
      <w:szCs w:val="20"/>
    </w:rPr>
  </w:style>
  <w:style w:type="paragraph" w:customStyle="1" w:styleId="92">
    <w:name w:val="表格小五"/>
    <w:basedOn w:val="1"/>
    <w:qFormat/>
    <w:uiPriority w:val="0"/>
    <w:pPr>
      <w:adjustRightInd w:val="0"/>
      <w:snapToGrid w:val="0"/>
      <w:spacing w:afterLines="30" w:line="240" w:lineRule="atLeast"/>
      <w:ind w:firstLine="510"/>
      <w:jc w:val="left"/>
    </w:pPr>
    <w:rPr>
      <w:rFonts w:eastAsia="宋体" w:cs="Times New Roman"/>
      <w:spacing w:val="16"/>
      <w:kern w:val="0"/>
      <w:sz w:val="18"/>
      <w:szCs w:val="20"/>
    </w:rPr>
  </w:style>
  <w:style w:type="paragraph" w:customStyle="1" w:styleId="93">
    <w:name w:val="目录"/>
    <w:basedOn w:val="25"/>
    <w:next w:val="28"/>
    <w:qFormat/>
    <w:uiPriority w:val="0"/>
    <w:pPr>
      <w:spacing w:line="240" w:lineRule="auto"/>
      <w:ind w:firstLine="0" w:firstLineChars="0"/>
    </w:pPr>
    <w:rPr>
      <w:sz w:val="21"/>
    </w:rPr>
  </w:style>
  <w:style w:type="paragraph" w:customStyle="1" w:styleId="94">
    <w:name w:val="宋体"/>
    <w:basedOn w:val="1"/>
    <w:qFormat/>
    <w:uiPriority w:val="0"/>
    <w:rPr>
      <w:rFonts w:ascii="宋体" w:hAnsi="宋体" w:eastAsia="宋体" w:cs="宋体"/>
      <w:szCs w:val="24"/>
    </w:rPr>
  </w:style>
  <w:style w:type="character" w:customStyle="1" w:styleId="95">
    <w:name w:val="HTML 预设格式 字符"/>
    <w:basedOn w:val="38"/>
    <w:link w:val="30"/>
    <w:qFormat/>
    <w:uiPriority w:val="0"/>
    <w:rPr>
      <w:rFonts w:ascii="Arial" w:hAnsi="Arial" w:eastAsia="宋体" w:cs="Arial"/>
      <w:kern w:val="0"/>
      <w:sz w:val="24"/>
      <w:szCs w:val="24"/>
    </w:rPr>
  </w:style>
  <w:style w:type="character" w:customStyle="1" w:styleId="96">
    <w:name w:val="日期 字符"/>
    <w:basedOn w:val="38"/>
    <w:link w:val="20"/>
    <w:qFormat/>
    <w:uiPriority w:val="0"/>
    <w:rPr>
      <w:rFonts w:ascii="Times New Roman" w:hAnsi="Times New Roman" w:eastAsia="宋体" w:cs="Times New Roman"/>
      <w:sz w:val="24"/>
      <w:szCs w:val="24"/>
    </w:rPr>
  </w:style>
  <w:style w:type="paragraph" w:customStyle="1" w:styleId="97">
    <w:name w:val="Char Char Char Char"/>
    <w:basedOn w:val="1"/>
    <w:qFormat/>
    <w:uiPriority w:val="0"/>
    <w:rPr>
      <w:rFonts w:eastAsia="宋体" w:cs="Times New Roman"/>
      <w:szCs w:val="24"/>
    </w:rPr>
  </w:style>
  <w:style w:type="paragraph" w:customStyle="1" w:styleId="98">
    <w:name w:val="Char Char Char"/>
    <w:basedOn w:val="1"/>
    <w:qFormat/>
    <w:uiPriority w:val="0"/>
    <w:rPr>
      <w:rFonts w:eastAsia="宋体" w:cs="Times New Roman"/>
      <w:szCs w:val="24"/>
    </w:rPr>
  </w:style>
  <w:style w:type="paragraph" w:customStyle="1" w:styleId="99">
    <w:name w:val="表格内容"/>
    <w:basedOn w:val="1"/>
    <w:qFormat/>
    <w:uiPriority w:val="0"/>
    <w:pPr>
      <w:ind w:firstLine="360"/>
    </w:pPr>
    <w:rPr>
      <w:rFonts w:ascii="宋体" w:hAnsi="宋体" w:eastAsia="宋体" w:cs="Times New Roman"/>
      <w:snapToGrid w:val="0"/>
      <w:szCs w:val="24"/>
    </w:rPr>
  </w:style>
  <w:style w:type="character" w:customStyle="1" w:styleId="100">
    <w:name w:val="正文文本缩进 字符"/>
    <w:basedOn w:val="38"/>
    <w:link w:val="18"/>
    <w:qFormat/>
    <w:uiPriority w:val="0"/>
    <w:rPr>
      <w:rFonts w:ascii="Times New Roman" w:hAnsi="Times New Roman" w:eastAsia="宋体" w:cs="Times New Roman"/>
      <w:szCs w:val="20"/>
    </w:rPr>
  </w:style>
  <w:style w:type="paragraph" w:customStyle="1" w:styleId="101">
    <w:name w:val="二级无标题条"/>
    <w:basedOn w:val="1"/>
    <w:qFormat/>
    <w:uiPriority w:val="0"/>
    <w:rPr>
      <w:rFonts w:eastAsia="宋体" w:cs="Times New Roman"/>
      <w:szCs w:val="24"/>
    </w:rPr>
  </w:style>
  <w:style w:type="character" w:customStyle="1" w:styleId="102">
    <w:name w:val="宏文本 字符"/>
    <w:basedOn w:val="38"/>
    <w:link w:val="3"/>
    <w:qFormat/>
    <w:uiPriority w:val="0"/>
    <w:rPr>
      <w:rFonts w:ascii="Courier New" w:hAnsi="Courier New" w:eastAsia="宋体" w:cs="Courier New"/>
      <w:sz w:val="24"/>
      <w:szCs w:val="24"/>
    </w:rPr>
  </w:style>
  <w:style w:type="character" w:customStyle="1" w:styleId="103">
    <w:name w:val="正文文本缩进 3 字符"/>
    <w:basedOn w:val="38"/>
    <w:link w:val="27"/>
    <w:qFormat/>
    <w:uiPriority w:val="0"/>
    <w:rPr>
      <w:rFonts w:ascii="Times New Roman" w:hAnsi="Times New Roman" w:eastAsia="宋体" w:cs="Times New Roman"/>
      <w:sz w:val="16"/>
      <w:szCs w:val="16"/>
    </w:rPr>
  </w:style>
  <w:style w:type="paragraph" w:customStyle="1" w:styleId="104">
    <w:name w:val="Char"/>
    <w:basedOn w:val="1"/>
    <w:qFormat/>
    <w:uiPriority w:val="0"/>
    <w:rPr>
      <w:rFonts w:eastAsia="宋体" w:cs="Times New Roman"/>
      <w:szCs w:val="24"/>
    </w:rPr>
  </w:style>
  <w:style w:type="paragraph" w:customStyle="1" w:styleId="105">
    <w:name w:val="Char Char Char1 Char"/>
    <w:basedOn w:val="1"/>
    <w:qFormat/>
    <w:uiPriority w:val="0"/>
    <w:pPr>
      <w:widowControl/>
      <w:jc w:val="left"/>
    </w:pPr>
    <w:rPr>
      <w:rFonts w:ascii="宋体" w:hAnsi="宋体" w:eastAsia="宋体" w:cs="宋体"/>
      <w:kern w:val="0"/>
      <w:szCs w:val="24"/>
    </w:rPr>
  </w:style>
  <w:style w:type="paragraph" w:customStyle="1" w:styleId="106">
    <w:name w:val="Char Char Char Char Char Char"/>
    <w:basedOn w:val="1"/>
    <w:next w:val="3"/>
    <w:qFormat/>
    <w:uiPriority w:val="0"/>
    <w:rPr>
      <w:rFonts w:eastAsia="宋体" w:cs="Times New Roman"/>
      <w:sz w:val="28"/>
      <w:szCs w:val="28"/>
    </w:rPr>
  </w:style>
  <w:style w:type="paragraph" w:customStyle="1" w:styleId="107">
    <w:name w:val="xl24"/>
    <w:basedOn w:val="1"/>
    <w:qFormat/>
    <w:uiPriority w:val="0"/>
    <w:pPr>
      <w:widowControl/>
      <w:spacing w:before="100" w:beforeAutospacing="1" w:after="100" w:afterAutospacing="1"/>
      <w:jc w:val="center"/>
    </w:pPr>
    <w:rPr>
      <w:rFonts w:ascii="宋体" w:hAnsi="宋体" w:eastAsia="宋体" w:cs="Times New Roman"/>
      <w:kern w:val="0"/>
      <w:szCs w:val="24"/>
    </w:rPr>
  </w:style>
  <w:style w:type="character" w:customStyle="1" w:styleId="108">
    <w:name w:val="正文缩进 Char1"/>
    <w:basedOn w:val="38"/>
    <w:qFormat/>
    <w:uiPriority w:val="0"/>
    <w:rPr>
      <w:rFonts w:eastAsia="宋体"/>
      <w:kern w:val="2"/>
      <w:sz w:val="21"/>
      <w:szCs w:val="24"/>
      <w:lang w:val="en-US" w:eastAsia="zh-CN" w:bidi="ar-SA"/>
    </w:rPr>
  </w:style>
  <w:style w:type="paragraph" w:customStyle="1" w:styleId="109">
    <w:name w:val="wj样式 + 首行缩进:  2 字符"/>
    <w:basedOn w:val="1"/>
    <w:next w:val="1"/>
    <w:qFormat/>
    <w:uiPriority w:val="0"/>
    <w:pPr>
      <w:ind w:firstLine="536"/>
    </w:pPr>
    <w:rPr>
      <w:rFonts w:eastAsia="宋体" w:cs="宋体"/>
      <w:spacing w:val="14"/>
      <w:szCs w:val="20"/>
    </w:rPr>
  </w:style>
  <w:style w:type="paragraph" w:customStyle="1" w:styleId="110">
    <w:name w:val="无悬挂正文5号"/>
    <w:basedOn w:val="1"/>
    <w:qFormat/>
    <w:uiPriority w:val="0"/>
    <w:pPr>
      <w:jc w:val="center"/>
    </w:pPr>
    <w:rPr>
      <w:rFonts w:eastAsia="宋体" w:cs="Times New Roman"/>
      <w:szCs w:val="24"/>
    </w:rPr>
  </w:style>
  <w:style w:type="character" w:customStyle="1" w:styleId="111">
    <w:name w:val="表格 Char Char"/>
    <w:basedOn w:val="38"/>
    <w:link w:val="77"/>
    <w:qFormat/>
    <w:uiPriority w:val="0"/>
    <w:rPr>
      <w:bCs/>
    </w:rPr>
  </w:style>
  <w:style w:type="paragraph" w:customStyle="1" w:styleId="112">
    <w:name w:val="表格文字"/>
    <w:basedOn w:val="2"/>
    <w:link w:val="113"/>
    <w:qFormat/>
    <w:uiPriority w:val="0"/>
    <w:pPr>
      <w:snapToGrid w:val="0"/>
      <w:spacing w:line="340" w:lineRule="exact"/>
      <w:ind w:firstLine="0" w:firstLineChars="0"/>
      <w:jc w:val="center"/>
    </w:pPr>
    <w:rPr>
      <w:rFonts w:ascii="宋体" w:hAnsi="Arial" w:cs="Times New Roman"/>
      <w:sz w:val="21"/>
      <w:szCs w:val="20"/>
    </w:rPr>
  </w:style>
  <w:style w:type="character" w:customStyle="1" w:styleId="113">
    <w:name w:val="表格文字 Char"/>
    <w:link w:val="112"/>
    <w:qFormat/>
    <w:uiPriority w:val="0"/>
    <w:rPr>
      <w:rFonts w:ascii="宋体" w:hAnsi="Arial" w:eastAsia="宋体" w:cs="Times New Roman"/>
      <w:szCs w:val="20"/>
    </w:rPr>
  </w:style>
  <w:style w:type="character" w:customStyle="1" w:styleId="114">
    <w:name w:val="标题 3 Char1"/>
    <w:basedOn w:val="38"/>
    <w:qFormat/>
    <w:uiPriority w:val="0"/>
    <w:rPr>
      <w:b/>
      <w:bCs/>
      <w:kern w:val="2"/>
      <w:sz w:val="32"/>
      <w:szCs w:val="32"/>
    </w:rPr>
  </w:style>
  <w:style w:type="character" w:customStyle="1" w:styleId="115">
    <w:name w:val="批注框文本 字符"/>
    <w:basedOn w:val="38"/>
    <w:link w:val="22"/>
    <w:qFormat/>
    <w:uiPriority w:val="0"/>
    <w:rPr>
      <w:rFonts w:ascii="Times New Roman" w:hAnsi="Times New Roman" w:eastAsia="宋体" w:cs="Times New Roman"/>
      <w:sz w:val="18"/>
      <w:szCs w:val="18"/>
    </w:rPr>
  </w:style>
  <w:style w:type="character" w:customStyle="1" w:styleId="116">
    <w:name w:val="标题 4 Char"/>
    <w:basedOn w:val="38"/>
    <w:qFormat/>
    <w:uiPriority w:val="9"/>
    <w:rPr>
      <w:rFonts w:ascii="Times New Roman" w:hAnsi="Times New Roman" w:eastAsia="宋体" w:cs="Times New Roman"/>
      <w:b/>
      <w:bCs/>
      <w:sz w:val="24"/>
      <w:szCs w:val="28"/>
    </w:rPr>
  </w:style>
  <w:style w:type="paragraph" w:customStyle="1" w:styleId="117">
    <w:name w:val="引用1"/>
    <w:basedOn w:val="1"/>
    <w:next w:val="1"/>
    <w:qFormat/>
    <w:uiPriority w:val="29"/>
    <w:rPr>
      <w:rFonts w:eastAsia="宋体" w:cs="Times New Roman"/>
      <w:i/>
      <w:iCs/>
      <w:color w:val="000000"/>
      <w:szCs w:val="20"/>
    </w:rPr>
  </w:style>
  <w:style w:type="character" w:customStyle="1" w:styleId="118">
    <w:name w:val="正文文本 3 字符"/>
    <w:basedOn w:val="38"/>
    <w:link w:val="16"/>
    <w:semiHidden/>
    <w:qFormat/>
    <w:uiPriority w:val="99"/>
    <w:rPr>
      <w:rFonts w:ascii="Times New Roman" w:hAnsi="Times New Roman" w:eastAsia="宋体" w:cs="Times New Roman"/>
      <w:sz w:val="16"/>
      <w:szCs w:val="16"/>
    </w:rPr>
  </w:style>
  <w:style w:type="character" w:customStyle="1" w:styleId="119">
    <w:name w:val="引用 Char"/>
    <w:basedOn w:val="38"/>
    <w:qFormat/>
    <w:uiPriority w:val="29"/>
    <w:rPr>
      <w:rFonts w:ascii="Times New Roman" w:hAnsi="Times New Roman" w:eastAsia="宋体" w:cs="Times New Roman"/>
      <w:i/>
      <w:iCs/>
      <w:color w:val="000000"/>
      <w:sz w:val="24"/>
      <w:szCs w:val="20"/>
    </w:rPr>
  </w:style>
  <w:style w:type="paragraph" w:styleId="120">
    <w:name w:val="Quote"/>
    <w:basedOn w:val="1"/>
    <w:next w:val="1"/>
    <w:link w:val="129"/>
    <w:qFormat/>
    <w:uiPriority w:val="29"/>
    <w:rPr>
      <w:rFonts w:eastAsia="宋体" w:cs="Times New Roman"/>
      <w:i/>
      <w:iCs/>
      <w:color w:val="000000"/>
      <w:szCs w:val="20"/>
    </w:rPr>
  </w:style>
  <w:style w:type="character" w:customStyle="1" w:styleId="121">
    <w:name w:val="标题 2 字符"/>
    <w:basedOn w:val="38"/>
    <w:link w:val="5"/>
    <w:qFormat/>
    <w:uiPriority w:val="9"/>
    <w:rPr>
      <w:rFonts w:ascii="Times New Roman" w:hAnsi="Times New Roman" w:eastAsia="宋体" w:cs="Times New Roman"/>
      <w:b/>
      <w:bCs/>
      <w:kern w:val="2"/>
      <w:sz w:val="24"/>
      <w:szCs w:val="32"/>
    </w:rPr>
  </w:style>
  <w:style w:type="character" w:customStyle="1" w:styleId="122">
    <w:name w:val="明显引用 字符"/>
    <w:basedOn w:val="38"/>
    <w:link w:val="56"/>
    <w:qFormat/>
    <w:uiPriority w:val="30"/>
    <w:rPr>
      <w:b/>
      <w:bCs/>
      <w:i/>
      <w:iCs/>
      <w:color w:val="4F81BD" w:themeColor="accent1"/>
    </w:rPr>
  </w:style>
  <w:style w:type="character" w:customStyle="1" w:styleId="123">
    <w:name w:val="明显参考2"/>
    <w:basedOn w:val="38"/>
    <w:qFormat/>
    <w:uiPriority w:val="32"/>
    <w:rPr>
      <w:b/>
      <w:bCs/>
      <w:smallCaps/>
      <w:color w:val="C0504D" w:themeColor="accent2"/>
      <w:spacing w:val="5"/>
      <w:u w:val="single"/>
    </w:rPr>
  </w:style>
  <w:style w:type="character" w:customStyle="1" w:styleId="124">
    <w:name w:val="不明显参考2"/>
    <w:basedOn w:val="38"/>
    <w:qFormat/>
    <w:uiPriority w:val="31"/>
    <w:rPr>
      <w:smallCaps/>
      <w:color w:val="C0504D" w:themeColor="accent2"/>
      <w:u w:val="single"/>
    </w:rPr>
  </w:style>
  <w:style w:type="character" w:customStyle="1" w:styleId="125">
    <w:name w:val="副标题 字符"/>
    <w:basedOn w:val="38"/>
    <w:link w:val="26"/>
    <w:qFormat/>
    <w:uiPriority w:val="11"/>
    <w:rPr>
      <w:rFonts w:eastAsia="宋体" w:asciiTheme="majorHAnsi" w:hAnsiTheme="majorHAnsi" w:cstheme="majorBidi"/>
      <w:b/>
      <w:bCs/>
      <w:kern w:val="28"/>
      <w:sz w:val="32"/>
      <w:szCs w:val="32"/>
    </w:rPr>
  </w:style>
  <w:style w:type="character" w:customStyle="1" w:styleId="126">
    <w:name w:val="正文文本 字符"/>
    <w:basedOn w:val="38"/>
    <w:link w:val="17"/>
    <w:semiHidden/>
    <w:qFormat/>
    <w:uiPriority w:val="99"/>
  </w:style>
  <w:style w:type="character" w:customStyle="1" w:styleId="127">
    <w:name w:val="纯文本 字符"/>
    <w:basedOn w:val="38"/>
    <w:link w:val="19"/>
    <w:semiHidden/>
    <w:qFormat/>
    <w:uiPriority w:val="99"/>
    <w:rPr>
      <w:rFonts w:ascii="宋体" w:hAnsi="Courier New" w:eastAsia="宋体" w:cs="Courier New"/>
      <w:szCs w:val="21"/>
    </w:rPr>
  </w:style>
  <w:style w:type="character" w:customStyle="1" w:styleId="128">
    <w:name w:val="标题 4 字符"/>
    <w:basedOn w:val="38"/>
    <w:link w:val="7"/>
    <w:semiHidden/>
    <w:qFormat/>
    <w:uiPriority w:val="9"/>
    <w:rPr>
      <w:rFonts w:asciiTheme="majorHAnsi" w:hAnsiTheme="majorHAnsi" w:eastAsiaTheme="majorEastAsia" w:cstheme="majorBidi"/>
      <w:b/>
      <w:bCs/>
      <w:sz w:val="28"/>
      <w:szCs w:val="28"/>
    </w:rPr>
  </w:style>
  <w:style w:type="character" w:customStyle="1" w:styleId="129">
    <w:name w:val="引用 字符"/>
    <w:basedOn w:val="38"/>
    <w:link w:val="120"/>
    <w:qFormat/>
    <w:uiPriority w:val="29"/>
    <w:rPr>
      <w:i/>
      <w:iCs/>
      <w:color w:val="000000" w:themeColor="text1"/>
    </w:rPr>
  </w:style>
  <w:style w:type="paragraph" w:customStyle="1" w:styleId="13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31">
    <w:name w:val="环评正文"/>
    <w:basedOn w:val="1"/>
    <w:qFormat/>
    <w:uiPriority w:val="0"/>
    <w:rPr>
      <w:rFonts w:cs="Times New Roman"/>
    </w:rPr>
  </w:style>
  <w:style w:type="character" w:customStyle="1" w:styleId="132">
    <w:name w:val="正文文本首行缩进 字符"/>
    <w:basedOn w:val="68"/>
    <w:link w:val="34"/>
    <w:qFormat/>
    <w:uiPriority w:val="99"/>
    <w:rPr>
      <w:rFonts w:ascii="Times New Roman" w:hAnsi="Times New Roman" w:eastAsia="宋体"/>
      <w:sz w:val="24"/>
    </w:rPr>
  </w:style>
  <w:style w:type="paragraph" w:customStyle="1" w:styleId="133">
    <w:name w:val="报告表正文"/>
    <w:basedOn w:val="1"/>
    <w:link w:val="134"/>
    <w:qFormat/>
    <w:uiPriority w:val="0"/>
    <w:pPr>
      <w:adjustRightInd w:val="0"/>
      <w:spacing w:line="312" w:lineRule="auto"/>
      <w:ind w:left="113" w:right="113" w:firstLine="482" w:firstLineChars="0"/>
      <w:textAlignment w:val="baseline"/>
    </w:pPr>
    <w:rPr>
      <w:rFonts w:eastAsia="宋体" w:cs="Times New Roman"/>
      <w:kern w:val="0"/>
      <w:szCs w:val="20"/>
    </w:rPr>
  </w:style>
  <w:style w:type="character" w:customStyle="1" w:styleId="134">
    <w:name w:val="报告表正文 Char"/>
    <w:link w:val="133"/>
    <w:qFormat/>
    <w:uiPriority w:val="0"/>
    <w:rPr>
      <w:rFonts w:ascii="Times New Roman" w:hAnsi="Times New Roman" w:eastAsia="宋体" w:cs="Times New Roman"/>
      <w:kern w:val="0"/>
      <w:sz w:val="24"/>
      <w:szCs w:val="20"/>
    </w:rPr>
  </w:style>
  <w:style w:type="character" w:customStyle="1" w:styleId="135">
    <w:name w:val="表标题 Char"/>
    <w:link w:val="136"/>
    <w:qFormat/>
    <w:uiPriority w:val="0"/>
    <w:rPr>
      <w:rFonts w:eastAsia="宋体"/>
      <w:b/>
      <w:bCs/>
      <w:sz w:val="24"/>
      <w:szCs w:val="18"/>
    </w:rPr>
  </w:style>
  <w:style w:type="paragraph" w:customStyle="1" w:styleId="136">
    <w:name w:val="表标题"/>
    <w:basedOn w:val="34"/>
    <w:link w:val="135"/>
    <w:qFormat/>
    <w:uiPriority w:val="0"/>
    <w:pPr>
      <w:adjustRightInd w:val="0"/>
      <w:snapToGrid w:val="0"/>
      <w:spacing w:before="60" w:after="60" w:line="500" w:lineRule="exact"/>
      <w:ind w:firstLine="0" w:firstLineChars="0"/>
      <w:jc w:val="center"/>
    </w:pPr>
    <w:rPr>
      <w:rFonts w:eastAsia="宋体" w:asciiTheme="minorHAnsi" w:hAnsiTheme="minorHAnsi"/>
      <w:b/>
      <w:bCs/>
      <w:szCs w:val="18"/>
    </w:rPr>
  </w:style>
  <w:style w:type="paragraph" w:customStyle="1" w:styleId="137">
    <w:name w:val="纯文本1"/>
    <w:basedOn w:val="1"/>
    <w:qFormat/>
    <w:uiPriority w:val="0"/>
    <w:pPr>
      <w:spacing w:line="240" w:lineRule="auto"/>
      <w:ind w:firstLine="0" w:firstLineChars="0"/>
    </w:pPr>
    <w:rPr>
      <w:rFonts w:hint="eastAsia" w:ascii="宋体" w:hAnsi="Courier New" w:eastAsia="宋体" w:cs="Times New Roman"/>
      <w:sz w:val="21"/>
      <w:szCs w:val="20"/>
    </w:rPr>
  </w:style>
  <w:style w:type="paragraph" w:customStyle="1" w:styleId="138">
    <w:name w:val="表格 32"/>
    <w:basedOn w:val="1"/>
    <w:qFormat/>
    <w:uiPriority w:val="0"/>
    <w:pPr>
      <w:autoSpaceDE w:val="0"/>
      <w:autoSpaceDN w:val="0"/>
      <w:adjustRightInd w:val="0"/>
      <w:jc w:val="center"/>
      <w:textAlignment w:val="baseline"/>
    </w:pPr>
    <w:rPr>
      <w:rFonts w:ascii="宋体" w:hAnsi="Impact" w:eastAsia="宋体" w:cs="Times New Roman"/>
      <w:kern w:val="24"/>
      <w:szCs w:val="20"/>
    </w:rPr>
  </w:style>
  <w:style w:type="paragraph" w:customStyle="1" w:styleId="139">
    <w:name w:val="表格标题"/>
    <w:basedOn w:val="1"/>
    <w:qFormat/>
    <w:uiPriority w:val="0"/>
    <w:pPr>
      <w:ind w:firstLine="0" w:firstLineChars="0"/>
      <w:jc w:val="center"/>
    </w:pPr>
    <w:rPr>
      <w:rFonts w:eastAsia="宋体" w:cs="Times New Roman"/>
      <w:b/>
      <w:sz w:val="21"/>
      <w:szCs w:val="24"/>
    </w:rPr>
  </w:style>
  <w:style w:type="paragraph" w:customStyle="1" w:styleId="140">
    <w:name w:val="表题"/>
    <w:basedOn w:val="77"/>
    <w:qFormat/>
    <w:uiPriority w:val="0"/>
    <w:pPr>
      <w:spacing w:line="240" w:lineRule="auto"/>
      <w:ind w:firstLine="0" w:firstLineChars="0"/>
    </w:pPr>
    <w:rPr>
      <w:rFonts w:eastAsia="宋体" w:cs="Times New Roman"/>
      <w:b/>
      <w:bCs w:val="0"/>
      <w:sz w:val="21"/>
      <w:szCs w:val="24"/>
    </w:rPr>
  </w:style>
  <w:style w:type="character" w:customStyle="1" w:styleId="141">
    <w:name w:val="魏秀珍   正文 Char"/>
    <w:basedOn w:val="38"/>
    <w:link w:val="142"/>
    <w:qFormat/>
    <w:locked/>
    <w:uiPriority w:val="0"/>
    <w:rPr>
      <w:rFonts w:ascii="宋体" w:hAnsi="宋体" w:eastAsia="宋体" w:cs="Times New Roman"/>
      <w:b/>
      <w:bCs/>
      <w:szCs w:val="21"/>
    </w:rPr>
  </w:style>
  <w:style w:type="paragraph" w:customStyle="1" w:styleId="142">
    <w:name w:val="魏秀珍   正文"/>
    <w:basedOn w:val="2"/>
    <w:link w:val="141"/>
    <w:qFormat/>
    <w:uiPriority w:val="0"/>
    <w:pPr>
      <w:ind w:firstLine="422"/>
    </w:pPr>
    <w:rPr>
      <w:rFonts w:ascii="宋体" w:hAnsi="宋体" w:cs="Times New Roman"/>
      <w:b/>
      <w:bCs/>
      <w:sz w:val="21"/>
      <w:szCs w:val="21"/>
    </w:rPr>
  </w:style>
  <w:style w:type="character" w:customStyle="1" w:styleId="143">
    <w:name w:val="文本内容 Char"/>
    <w:basedOn w:val="38"/>
    <w:link w:val="144"/>
    <w:qFormat/>
    <w:uiPriority w:val="0"/>
    <w:rPr>
      <w:rFonts w:eastAsia="宋体" w:cs="宋体"/>
      <w:sz w:val="28"/>
      <w:szCs w:val="21"/>
    </w:rPr>
  </w:style>
  <w:style w:type="paragraph" w:customStyle="1" w:styleId="144">
    <w:name w:val="文本内容"/>
    <w:basedOn w:val="1"/>
    <w:link w:val="143"/>
    <w:qFormat/>
    <w:uiPriority w:val="0"/>
    <w:pPr>
      <w:adjustRightInd w:val="0"/>
      <w:snapToGrid w:val="0"/>
      <w:ind w:firstLine="546"/>
    </w:pPr>
    <w:rPr>
      <w:rFonts w:eastAsia="宋体" w:cs="宋体" w:asciiTheme="minorHAnsi" w:hAnsiTheme="minorHAnsi"/>
      <w:sz w:val="28"/>
      <w:szCs w:val="21"/>
    </w:rPr>
  </w:style>
  <w:style w:type="character" w:customStyle="1" w:styleId="145">
    <w:name w:val="标题 9 字符"/>
    <w:basedOn w:val="38"/>
    <w:link w:val="12"/>
    <w:qFormat/>
    <w:uiPriority w:val="9"/>
    <w:rPr>
      <w:rFonts w:asciiTheme="majorHAnsi" w:hAnsiTheme="majorHAnsi" w:eastAsiaTheme="majorEastAsia" w:cstheme="majorBidi"/>
      <w:szCs w:val="21"/>
    </w:rPr>
  </w:style>
  <w:style w:type="paragraph" w:customStyle="1" w:styleId="146">
    <w:name w:val="表格内容新"/>
    <w:basedOn w:val="1"/>
    <w:next w:val="1"/>
    <w:qFormat/>
    <w:uiPriority w:val="0"/>
    <w:pPr>
      <w:autoSpaceDE w:val="0"/>
      <w:autoSpaceDN w:val="0"/>
      <w:adjustRightInd w:val="0"/>
      <w:snapToGrid w:val="0"/>
      <w:spacing w:line="360" w:lineRule="exact"/>
      <w:ind w:firstLine="0" w:firstLineChars="0"/>
      <w:jc w:val="center"/>
      <w:textAlignment w:val="baseline"/>
    </w:pPr>
    <w:rPr>
      <w:rFonts w:eastAsia="宋体" w:cs="Times New Roman"/>
      <w:kern w:val="24"/>
      <w:sz w:val="21"/>
      <w:szCs w:val="20"/>
    </w:rPr>
  </w:style>
  <w:style w:type="paragraph" w:customStyle="1" w:styleId="147">
    <w:name w:val="中文报告书"/>
    <w:basedOn w:val="1"/>
    <w:qFormat/>
    <w:uiPriority w:val="0"/>
    <w:pPr>
      <w:adjustRightInd w:val="0"/>
      <w:spacing w:after="80" w:line="420" w:lineRule="atLeast"/>
      <w:ind w:firstLine="0" w:firstLineChars="0"/>
      <w:jc w:val="left"/>
      <w:textAlignment w:val="baseline"/>
    </w:pPr>
    <w:rPr>
      <w:rFonts w:eastAsia="宋体" w:cs="Times New Roman"/>
      <w:szCs w:val="20"/>
    </w:rPr>
  </w:style>
  <w:style w:type="paragraph" w:customStyle="1" w:styleId="148">
    <w:name w:val="Char1 Char Char Char1 Char Char Char Char Char Char Char Char Char Char Char Char"/>
    <w:basedOn w:val="1"/>
    <w:next w:val="1"/>
    <w:qFormat/>
    <w:uiPriority w:val="0"/>
    <w:pPr>
      <w:spacing w:line="240" w:lineRule="auto"/>
      <w:ind w:firstLine="0" w:firstLineChars="0"/>
    </w:pPr>
    <w:rPr>
      <w:rFonts w:ascii="宋体" w:hAnsi="宋体" w:eastAsia="宋体" w:cs="Times New Roman"/>
      <w:szCs w:val="24"/>
    </w:rPr>
  </w:style>
  <w:style w:type="character" w:customStyle="1" w:styleId="149">
    <w:name w:val="方案正文 Char Char"/>
    <w:link w:val="150"/>
    <w:qFormat/>
    <w:uiPriority w:val="0"/>
    <w:rPr>
      <w:rFonts w:ascii="宋体" w:hAnsi="宋体" w:eastAsia="宋体"/>
      <w:spacing w:val="14"/>
      <w:sz w:val="24"/>
      <w:szCs w:val="24"/>
    </w:rPr>
  </w:style>
  <w:style w:type="paragraph" w:customStyle="1" w:styleId="150">
    <w:name w:val="方案正文"/>
    <w:basedOn w:val="1"/>
    <w:link w:val="149"/>
    <w:qFormat/>
    <w:uiPriority w:val="0"/>
    <w:pPr>
      <w:spacing w:beforeLines="50" w:afterLines="50"/>
    </w:pPr>
    <w:rPr>
      <w:rFonts w:ascii="宋体" w:hAnsi="宋体" w:eastAsia="宋体"/>
      <w:spacing w:val="14"/>
      <w:szCs w:val="24"/>
    </w:rPr>
  </w:style>
  <w:style w:type="character" w:customStyle="1" w:styleId="151">
    <w:name w:val="批注文字 字符"/>
    <w:basedOn w:val="38"/>
    <w:link w:val="14"/>
    <w:qFormat/>
    <w:uiPriority w:val="0"/>
    <w:rPr>
      <w:rFonts w:ascii="Times New Roman" w:hAnsi="Times New Roman" w:eastAsia="宋体" w:cs="Times New Roman"/>
      <w:szCs w:val="24"/>
    </w:rPr>
  </w:style>
  <w:style w:type="paragraph" w:customStyle="1" w:styleId="152">
    <w:name w:val="Char2"/>
    <w:basedOn w:val="1"/>
    <w:qFormat/>
    <w:uiPriority w:val="0"/>
    <w:pPr>
      <w:spacing w:line="240" w:lineRule="auto"/>
      <w:ind w:firstLine="0" w:firstLineChars="0"/>
    </w:pPr>
    <w:rPr>
      <w:rFonts w:eastAsia="宋体" w:cs="Times New Roman"/>
      <w:sz w:val="21"/>
      <w:szCs w:val="24"/>
    </w:rPr>
  </w:style>
  <w:style w:type="character" w:customStyle="1" w:styleId="153">
    <w:name w:val="标题 字符"/>
    <w:basedOn w:val="38"/>
    <w:link w:val="33"/>
    <w:qFormat/>
    <w:uiPriority w:val="10"/>
    <w:rPr>
      <w:rFonts w:ascii="Times New Roman" w:hAnsi="Times New Roman" w:eastAsia="宋体" w:cstheme="majorBidi"/>
      <w:b/>
      <w:bCs/>
      <w:snapToGrid w:val="0"/>
      <w:sz w:val="24"/>
      <w:szCs w:val="32"/>
    </w:rPr>
  </w:style>
  <w:style w:type="character" w:customStyle="1" w:styleId="154">
    <w:name w:val="font51"/>
    <w:qFormat/>
    <w:uiPriority w:val="0"/>
    <w:rPr>
      <w:rFonts w:hint="eastAsia" w:ascii="宋体" w:hAnsi="宋体" w:eastAsia="宋体" w:cs="宋体"/>
      <w:color w:val="000000"/>
      <w:sz w:val="24"/>
      <w:szCs w:val="24"/>
      <w:u w:val="none"/>
    </w:rPr>
  </w:style>
  <w:style w:type="character" w:customStyle="1" w:styleId="155">
    <w:name w:val="font61"/>
    <w:basedOn w:val="38"/>
    <w:qFormat/>
    <w:uiPriority w:val="0"/>
    <w:rPr>
      <w:rFonts w:hint="eastAsia" w:ascii="宋体" w:hAnsi="宋体" w:eastAsia="宋体" w:cs="宋体"/>
      <w:color w:val="0000FF"/>
      <w:kern w:val="0"/>
      <w:sz w:val="24"/>
      <w:szCs w:val="24"/>
      <w:u w:val="none"/>
    </w:rPr>
  </w:style>
  <w:style w:type="character" w:customStyle="1" w:styleId="156">
    <w:name w:val="font01"/>
    <w:qFormat/>
    <w:uiPriority w:val="0"/>
    <w:rPr>
      <w:rFonts w:hint="eastAsia" w:ascii="宋体" w:hAnsi="宋体" w:eastAsia="宋体" w:cs="宋体"/>
      <w:b/>
      <w:color w:val="000000"/>
      <w:sz w:val="24"/>
      <w:szCs w:val="24"/>
      <w:u w:val="none"/>
    </w:rPr>
  </w:style>
  <w:style w:type="character" w:customStyle="1" w:styleId="157">
    <w:name w:val="font81"/>
    <w:basedOn w:val="38"/>
    <w:qFormat/>
    <w:uiPriority w:val="0"/>
    <w:rPr>
      <w:rFonts w:hint="default" w:ascii="Times New Roman" w:hAnsi="Times New Roman" w:eastAsia="仿宋_GB2312" w:cs="Times New Roman"/>
      <w:color w:val="auto"/>
      <w:kern w:val="0"/>
      <w:sz w:val="24"/>
      <w:szCs w:val="24"/>
      <w:u w:val="none"/>
    </w:rPr>
  </w:style>
  <w:style w:type="character" w:customStyle="1" w:styleId="158">
    <w:name w:val="font71"/>
    <w:basedOn w:val="38"/>
    <w:qFormat/>
    <w:uiPriority w:val="0"/>
    <w:rPr>
      <w:rFonts w:hint="default" w:ascii="Times New Roman" w:hAnsi="Times New Roman" w:eastAsia="仿宋_GB2312" w:cs="Times New Roman"/>
      <w:color w:val="0000FF"/>
      <w:kern w:val="0"/>
      <w:sz w:val="24"/>
      <w:szCs w:val="24"/>
      <w:u w:val="none"/>
    </w:rPr>
  </w:style>
  <w:style w:type="character" w:customStyle="1" w:styleId="159">
    <w:name w:val="标题 5 字符"/>
    <w:basedOn w:val="38"/>
    <w:link w:val="8"/>
    <w:qFormat/>
    <w:uiPriority w:val="9"/>
    <w:rPr>
      <w:rFonts w:ascii="Times New Roman" w:hAnsi="Times New Roman"/>
      <w:b/>
      <w:bCs/>
      <w:sz w:val="28"/>
      <w:szCs w:val="28"/>
    </w:rPr>
  </w:style>
  <w:style w:type="character" w:customStyle="1" w:styleId="160">
    <w:name w:val="标题 6 字符"/>
    <w:basedOn w:val="38"/>
    <w:link w:val="9"/>
    <w:qFormat/>
    <w:uiPriority w:val="9"/>
    <w:rPr>
      <w:rFonts w:asciiTheme="majorHAnsi" w:hAnsiTheme="majorHAnsi" w:eastAsiaTheme="majorEastAsia" w:cstheme="majorBidi"/>
      <w:b/>
      <w:bCs/>
      <w:sz w:val="24"/>
      <w:szCs w:val="24"/>
    </w:rPr>
  </w:style>
  <w:style w:type="character" w:customStyle="1" w:styleId="161">
    <w:name w:val="标题 7 字符"/>
    <w:basedOn w:val="38"/>
    <w:link w:val="10"/>
    <w:qFormat/>
    <w:uiPriority w:val="9"/>
    <w:rPr>
      <w:rFonts w:ascii="Times New Roman" w:hAnsi="Times New Roman"/>
      <w:b/>
      <w:bCs/>
      <w:sz w:val="24"/>
      <w:szCs w:val="24"/>
    </w:rPr>
  </w:style>
  <w:style w:type="character" w:customStyle="1" w:styleId="162">
    <w:name w:val="标题 8 字符"/>
    <w:basedOn w:val="38"/>
    <w:link w:val="11"/>
    <w:qFormat/>
    <w:uiPriority w:val="9"/>
    <w:rPr>
      <w:rFonts w:asciiTheme="majorHAnsi" w:hAnsiTheme="majorHAnsi" w:eastAsiaTheme="majorEastAsia" w:cstheme="majorBidi"/>
      <w:sz w:val="24"/>
      <w:szCs w:val="24"/>
    </w:rPr>
  </w:style>
  <w:style w:type="paragraph" w:customStyle="1" w:styleId="163">
    <w:name w:val="Char1"/>
    <w:basedOn w:val="1"/>
    <w:qFormat/>
    <w:uiPriority w:val="0"/>
    <w:pPr>
      <w:spacing w:line="240" w:lineRule="auto"/>
      <w:ind w:firstLine="538" w:firstLineChars="192"/>
    </w:pPr>
    <w:rPr>
      <w:rFonts w:ascii="黑体" w:hAnsi="宋体" w:eastAsia="黑体" w:cs="Times New Roman"/>
      <w:b/>
      <w:color w:val="000000"/>
      <w:kern w:val="24"/>
      <w:sz w:val="28"/>
      <w:szCs w:val="28"/>
    </w:rPr>
  </w:style>
  <w:style w:type="paragraph" w:customStyle="1" w:styleId="164">
    <w:name w:val="Char1 Char Char Char1 Char Char Char Char Char Char Char Char Char Char Char Char1"/>
    <w:basedOn w:val="1"/>
    <w:next w:val="1"/>
    <w:qFormat/>
    <w:uiPriority w:val="0"/>
    <w:pPr>
      <w:spacing w:line="240" w:lineRule="auto"/>
      <w:ind w:firstLine="0" w:firstLineChars="0"/>
    </w:pPr>
    <w:rPr>
      <w:rFonts w:ascii="宋体" w:hAnsi="宋体" w:eastAsia="宋体" w:cs="Times New Roman"/>
      <w:szCs w:val="24"/>
    </w:rPr>
  </w:style>
  <w:style w:type="paragraph" w:customStyle="1" w:styleId="165">
    <w:name w:val="无间隔1"/>
    <w:basedOn w:val="1"/>
    <w:qFormat/>
    <w:uiPriority w:val="0"/>
    <w:pPr>
      <w:adjustRightInd w:val="0"/>
      <w:snapToGrid w:val="0"/>
      <w:spacing w:line="240" w:lineRule="auto"/>
      <w:ind w:firstLine="0" w:firstLineChars="0"/>
      <w:jc w:val="center"/>
    </w:pPr>
    <w:rPr>
      <w:rFonts w:eastAsia="宋体" w:cs="Times New Roman"/>
      <w:szCs w:val="24"/>
    </w:rPr>
  </w:style>
  <w:style w:type="paragraph" w:customStyle="1" w:styleId="166">
    <w:name w:val="Char Char Char1 Char Char Char Char"/>
    <w:basedOn w:val="1"/>
    <w:qFormat/>
    <w:uiPriority w:val="0"/>
    <w:pPr>
      <w:widowControl/>
      <w:spacing w:line="240" w:lineRule="auto"/>
      <w:ind w:firstLine="0" w:firstLineChars="0"/>
      <w:jc w:val="left"/>
    </w:pPr>
    <w:rPr>
      <w:rFonts w:ascii="宋体" w:hAnsi="宋体" w:eastAsia="宋体" w:cs="Courier New"/>
      <w:kern w:val="0"/>
      <w:sz w:val="32"/>
      <w:szCs w:val="32"/>
    </w:rPr>
  </w:style>
  <w:style w:type="paragraph" w:customStyle="1" w:styleId="167">
    <w:name w:val="Table Paragraph"/>
    <w:basedOn w:val="1"/>
    <w:qFormat/>
    <w:uiPriority w:val="1"/>
    <w:pPr>
      <w:autoSpaceDE w:val="0"/>
      <w:autoSpaceDN w:val="0"/>
      <w:adjustRightInd w:val="0"/>
      <w:spacing w:line="240" w:lineRule="auto"/>
      <w:ind w:firstLine="0" w:firstLineChars="0"/>
      <w:jc w:val="left"/>
    </w:pPr>
    <w:rPr>
      <w:rFonts w:cs="Times New Roman"/>
      <w:kern w:val="0"/>
      <w:szCs w:val="24"/>
    </w:rPr>
  </w:style>
  <w:style w:type="character" w:customStyle="1" w:styleId="168">
    <w:name w:val="样式4 Char2"/>
    <w:link w:val="169"/>
    <w:qFormat/>
    <w:uiPriority w:val="0"/>
    <w:rPr>
      <w:rFonts w:eastAsia="宋体"/>
      <w:color w:val="000000"/>
      <w:sz w:val="24"/>
      <w:szCs w:val="24"/>
    </w:rPr>
  </w:style>
  <w:style w:type="paragraph" w:customStyle="1" w:styleId="169">
    <w:name w:val="样式4"/>
    <w:basedOn w:val="1"/>
    <w:link w:val="168"/>
    <w:qFormat/>
    <w:uiPriority w:val="0"/>
    <w:pPr>
      <w:spacing w:line="240" w:lineRule="auto"/>
    </w:pPr>
    <w:rPr>
      <w:rFonts w:eastAsia="宋体" w:asciiTheme="minorHAnsi" w:hAnsiTheme="minorHAnsi"/>
      <w:color w:val="000000"/>
      <w:kern w:val="0"/>
      <w:szCs w:val="24"/>
    </w:rPr>
  </w:style>
  <w:style w:type="character" w:customStyle="1" w:styleId="170">
    <w:name w:val="latinname"/>
    <w:basedOn w:val="38"/>
    <w:qFormat/>
    <w:uiPriority w:val="0"/>
  </w:style>
  <w:style w:type="character" w:customStyle="1" w:styleId="171">
    <w:name w:val="splatinname"/>
    <w:basedOn w:val="38"/>
    <w:qFormat/>
    <w:uiPriority w:val="0"/>
  </w:style>
  <w:style w:type="paragraph" w:customStyle="1" w:styleId="172">
    <w:name w:val="样式 方正仿宋_GBK 三号 行距: 固定值 28 磅"/>
    <w:basedOn w:val="1"/>
    <w:qFormat/>
    <w:uiPriority w:val="0"/>
    <w:pPr>
      <w:jc w:val="left"/>
    </w:pPr>
    <w:rPr>
      <w:rFonts w:ascii="方正仿宋_GBK" w:hAnsi="方正仿宋_GBK" w:eastAsia="宋体" w:cs="宋体"/>
      <w:sz w:val="28"/>
      <w:szCs w:val="20"/>
    </w:rPr>
  </w:style>
  <w:style w:type="paragraph" w:customStyle="1" w:styleId="173">
    <w:name w:val="表格文字2"/>
    <w:basedOn w:val="1"/>
    <w:qFormat/>
    <w:uiPriority w:val="0"/>
    <w:pPr>
      <w:adjustRightInd w:val="0"/>
      <w:spacing w:before="60" w:line="240" w:lineRule="auto"/>
      <w:ind w:firstLine="0" w:firstLineChars="0"/>
      <w:jc w:val="center"/>
      <w:textAlignment w:val="baseline"/>
    </w:pPr>
    <w:rPr>
      <w:rFonts w:ascii="宋体" w:eastAsia="宋体" w:cs="Times New Roman"/>
      <w:kern w:val="0"/>
      <w:szCs w:val="20"/>
    </w:rPr>
  </w:style>
  <w:style w:type="table" w:customStyle="1" w:styleId="174">
    <w:name w:val="网格型8"/>
    <w:basedOn w:val="3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5">
    <w:name w:val="普通(网站) 字符"/>
    <w:link w:val="31"/>
    <w:qFormat/>
    <w:locked/>
    <w:uiPriority w:val="0"/>
    <w:rPr>
      <w:rFonts w:ascii="Arial Unicode MS" w:hAnsi="Arial Unicode MS" w:eastAsia="Arial Unicode MS" w:cs="Arial Unicode MS"/>
      <w:sz w:val="24"/>
      <w:szCs w:val="24"/>
    </w:rPr>
  </w:style>
  <w:style w:type="character" w:customStyle="1" w:styleId="176">
    <w:name w:val="表格 Char"/>
    <w:qFormat/>
    <w:locked/>
    <w:uiPriority w:val="0"/>
    <w:rPr>
      <w:rFonts w:ascii="宋体"/>
      <w:sz w:val="21"/>
    </w:rPr>
  </w:style>
  <w:style w:type="paragraph" w:customStyle="1" w:styleId="177">
    <w:name w:val="报告表正文（首行缩进）"/>
    <w:basedOn w:val="133"/>
    <w:qFormat/>
    <w:uiPriority w:val="0"/>
    <w:pPr>
      <w:spacing w:line="360" w:lineRule="auto"/>
      <w:ind w:left="0" w:right="0" w:firstLine="562" w:firstLineChars="200"/>
      <w:jc w:val="left"/>
    </w:pPr>
    <w:rPr>
      <w:szCs w:val="24"/>
    </w:rPr>
  </w:style>
  <w:style w:type="paragraph" w:customStyle="1" w:styleId="178">
    <w:name w:val="表格式"/>
    <w:basedOn w:val="179"/>
    <w:qFormat/>
    <w:uiPriority w:val="0"/>
    <w:pPr>
      <w:spacing w:line="240" w:lineRule="auto"/>
      <w:ind w:firstLine="0" w:firstLineChars="0"/>
      <w:jc w:val="center"/>
    </w:pPr>
    <w:rPr>
      <w:rFonts w:eastAsia="宋体" w:cs="Times New Roman"/>
      <w:sz w:val="21"/>
      <w:szCs w:val="21"/>
    </w:rPr>
  </w:style>
  <w:style w:type="paragraph" w:customStyle="1" w:styleId="179">
    <w:name w:val="报告书"/>
    <w:basedOn w:val="1"/>
    <w:qFormat/>
    <w:uiPriority w:val="0"/>
    <w:pPr>
      <w:autoSpaceDE w:val="0"/>
      <w:autoSpaceDN w:val="0"/>
      <w:adjustRightInd w:val="0"/>
      <w:ind w:firstLine="505"/>
      <w:jc w:val="left"/>
      <w:textAlignment w:val="bottom"/>
    </w:pPr>
    <w:rPr>
      <w:kern w:val="0"/>
      <w:szCs w:val="20"/>
    </w:rPr>
  </w:style>
  <w:style w:type="character" w:customStyle="1" w:styleId="180">
    <w:name w:val="正文文本首行缩进 2 字符"/>
    <w:basedOn w:val="100"/>
    <w:link w:val="35"/>
    <w:semiHidden/>
    <w:qFormat/>
    <w:uiPriority w:val="99"/>
    <w:rPr>
      <w:rFonts w:ascii="Times New Roman" w:hAnsi="Times New Roman" w:eastAsia="宋体" w:cs="Times New Roman"/>
      <w:kern w:val="2"/>
      <w:sz w:val="24"/>
      <w:szCs w:val="22"/>
    </w:rPr>
  </w:style>
  <w:style w:type="character" w:customStyle="1" w:styleId="181">
    <w:name w:val="正文缩进 Char2"/>
    <w:qFormat/>
    <w:uiPriority w:val="0"/>
    <w:rPr>
      <w:rFonts w:ascii="Times New Roman" w:hAnsi="Times New Roman" w:eastAsia="宋体"/>
      <w:sz w:val="24"/>
    </w:rPr>
  </w:style>
  <w:style w:type="paragraph" w:customStyle="1" w:styleId="182">
    <w:name w:val="表内容"/>
    <w:basedOn w:val="1"/>
    <w:qFormat/>
    <w:uiPriority w:val="0"/>
    <w:pPr>
      <w:widowControl/>
      <w:autoSpaceDE w:val="0"/>
      <w:autoSpaceDN w:val="0"/>
      <w:spacing w:line="240" w:lineRule="auto"/>
      <w:jc w:val="center"/>
      <w:textAlignment w:val="bottom"/>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Info spid="_x0000_s2213"/>
    <customShpInfo spid="_x0000_s2212"/>
    <customShpInfo spid="_x0000_s2203"/>
    <customShpInfo spid="_x0000_s2202"/>
    <customShpInfo spid="_x0000_s2201"/>
    <customShpInfo spid="_x0000_s2125"/>
    <customShpInfo spid="_x0000_s2222"/>
    <customShpInfo spid="_x0000_s2219"/>
    <customShpInfo spid="_x0000_s2218"/>
    <customShpInfo spid="_x0000_s2217"/>
    <customShpInfo spid="_x0000_s2215"/>
    <customShpInfo spid="_x0000_s2207"/>
    <customShpInfo spid="_x0000_s2126"/>
    <customShpInfo spid="_x0000_s2129"/>
    <customShpInfo spid="_x0000_s2130"/>
    <customShpInfo spid="_x0000_s2134"/>
    <customShpInfo spid="_x0000_s2137"/>
    <customShpInfo spid="_x0000_s2139"/>
    <customShpInfo spid="_x0000_s2140"/>
    <customShpInfo spid="_x0000_s2141"/>
    <customShpInfo spid="_x0000_s2142"/>
    <customShpInfo spid="_x0000_s2143"/>
    <customShpInfo spid="_x0000_s2144"/>
    <customShpInfo spid="_x0000_s2145"/>
    <customShpInfo spid="_x0000_s2148"/>
    <customShpInfo spid="_x0000_s2149"/>
    <customShpInfo spid="_x0000_s2150"/>
    <customShpInfo spid="_x0000_s2154"/>
    <customShpInfo spid="_x0000_s2155"/>
    <customShpInfo spid="_x0000_s2157"/>
    <customShpInfo spid="_x0000_s2158"/>
    <customShpInfo spid="_x0000_s2159"/>
    <customShpInfo spid="_x0000_s2160"/>
    <customShpInfo spid="_x0000_s2161"/>
    <customShpInfo spid="_x0000_s2163"/>
    <customShpInfo spid="_x0000_s2166"/>
    <customShpInfo spid="_x0000_s2168"/>
    <customShpInfo spid="_x0000_s2169"/>
    <customShpInfo spid="_x0000_s2171"/>
    <customShpInfo spid="_x0000_s2172"/>
    <customShpInfo spid="_x0000_s2173"/>
    <customShpInfo spid="_x0000_s2174"/>
    <customShpInfo spid="_x0000_s2175"/>
    <customShpInfo spid="_x0000_s2178"/>
    <customShpInfo spid="_x0000_s2186"/>
    <customShpInfo spid="_x0000_s2188"/>
    <customShpInfo spid="_x0000_s2189"/>
    <customShpInfo spid="_x0000_s2190"/>
    <customShpInfo spid="_x0000_s2191"/>
    <customShpInfo spid="_x0000_s2194"/>
    <customShpInfo spid="_x0000_s2195"/>
    <customShpInfo spid="_x0000_s2196"/>
    <customShpInfo spid="_x0000_s2197"/>
    <customShpInfo spid="_x0000_s2198"/>
    <customShpInfo spid="_x0000_s2199"/>
    <customShpInfo spid="_x0000_s2200"/>
    <customShpInfo spid="_x0000_s2204"/>
    <customShpInfo spid="_x0000_s2205"/>
    <customShpInfo spid="_x0000_s2206"/>
    <customShpInfo spid="_x0000_s2208"/>
    <customShpInfo spid="_x0000_s2209"/>
    <customShpInfo spid="_x0000_s2210"/>
    <customShpInfo spid="_x0000_s2211"/>
    <customShpInfo spid="_x0000_s2214"/>
    <customShpInfo spid="_x0000_s2216"/>
    <customShpInfo spid="_x0000_s2220"/>
    <customShpInfo spid="_x0000_s2221"/>
    <customShpInfo spid="_x0000_s2223"/>
    <customShpInfo spid="_x0000_s2224"/>
    <customShpInfo spid="_x0000_s2225"/>
    <customShpInfo spid="_x0000_s2226"/>
    <customShpInfo spid="_x0000_s2227"/>
    <customShpInfo spid="_x0000_s212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B0C774-E5ED-4B44-84CD-82670542A33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33606</Words>
  <Characters>37339</Characters>
  <Lines>298</Lines>
  <Paragraphs>84</Paragraphs>
  <TotalTime>37</TotalTime>
  <ScaleCrop>false</ScaleCrop>
  <LinksUpToDate>false</LinksUpToDate>
  <CharactersWithSpaces>37669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2016-07-20T02:42:00Z</dcterms:created>
  <dc:creator>李林宝</dc:creator>
  <cp:lastModifiedBy>Administrator</cp:lastModifiedBy>
  <cp:lastPrinted>2020-04-24T01:10:00Z</cp:lastPrinted>
  <dcterms:modified xsi:type="dcterms:W3CDTF">2025-06-06T01:39:00Z</dcterms:modified>
  <cp:revision>4354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4CD4814D21A34316B1F841E866AB6EC1</vt:lpwstr>
  </property>
  <property fmtid="{D5CDD505-2E9C-101B-9397-08002B2CF9AE}" pid="4" name="KSOTemplateDocerSaveRecord">
    <vt:lpwstr>eyJoZGlkIjoiMGNkZmFlNmViYTliODFhMWVkNmFjZmQyNjA3OTFlMGYiLCJ1c2VySWQiOiIyNzI1NDEyNjgifQ==</vt:lpwstr>
  </property>
</Properties>
</file>