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ind w:firstLineChars="0"/>
        <w:jc w:val="left"/>
        <w:rPr>
          <w:rFonts w:ascii="方正黑体简体" w:hAnsi="宋体" w:eastAsia="方正黑体简体" w:cs="宋体"/>
          <w:color w:val="000000"/>
          <w:sz w:val="32"/>
          <w:szCs w:val="32"/>
        </w:rPr>
      </w:pPr>
      <w:bookmarkStart w:id="0" w:name="_Hlk49260619"/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附件：</w:t>
      </w:r>
    </w:p>
    <w:bookmarkEnd w:id="0"/>
    <w:p>
      <w:pPr>
        <w:spacing w:line="560" w:lineRule="exact"/>
        <w:ind w:left="-141" w:leftChars="-67" w:right="-204" w:firstLine="0" w:firstLineChars="0"/>
        <w:jc w:val="center"/>
        <w:rPr>
          <w:rFonts w:ascii="方正小标宋简体" w:hAnsi="宋体" w:eastAsia="方正小标宋简体" w:cs="宋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姚安县2021年秋季动物防疫及非洲猪瘟常态化</w:t>
      </w:r>
    </w:p>
    <w:p>
      <w:pPr>
        <w:spacing w:line="560" w:lineRule="exact"/>
        <w:ind w:left="-141" w:leftChars="-67" w:right="-204" w:firstLine="0" w:firstLineChars="0"/>
        <w:jc w:val="center"/>
        <w:rPr>
          <w:rFonts w:ascii="方正小标宋简体" w:hAnsi="宋体" w:eastAsia="方正小标宋简体" w:cs="宋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  <w:t>防控措施落实检查记录表</w:t>
      </w:r>
    </w:p>
    <w:p>
      <w:pPr>
        <w:spacing w:line="560" w:lineRule="exact"/>
        <w:ind w:left="-141" w:leftChars="-67" w:right="-204" w:firstLine="0" w:firstLineChars="0"/>
        <w:jc w:val="center"/>
        <w:rPr>
          <w:rFonts w:hint="eastAsia" w:ascii="方正小标宋简体" w:hAnsi="宋体" w:eastAsia="方正小标宋简体" w:cs="宋体"/>
          <w:color w:val="000000"/>
          <w:spacing w:val="-20"/>
          <w:sz w:val="44"/>
          <w:szCs w:val="44"/>
        </w:rPr>
      </w:pPr>
    </w:p>
    <w:p>
      <w:pPr>
        <w:spacing w:line="259" w:lineRule="auto"/>
        <w:ind w:left="-141" w:leftChars="-67" w:right="-202" w:firstLine="0" w:firstLineChars="0"/>
        <w:jc w:val="left"/>
        <w:rPr>
          <w:rFonts w:eastAsia="方正仿宋简体" w:cs="Times New Roman"/>
          <w:color w:val="000000"/>
          <w:sz w:val="30"/>
          <w:szCs w:val="30"/>
        </w:rPr>
      </w:pPr>
      <w:r>
        <w:rPr>
          <w:rFonts w:eastAsia="方正仿宋简体" w:cs="Times New Roman"/>
          <w:color w:val="000000"/>
          <w:spacing w:val="-20"/>
          <w:sz w:val="30"/>
          <w:szCs w:val="30"/>
        </w:rPr>
        <w:t>乡镇（盖章）：</w:t>
      </w:r>
      <w:r>
        <w:rPr>
          <w:rFonts w:hint="eastAsia" w:eastAsia="方正仿宋简体" w:cs="Times New Roman"/>
          <w:color w:val="000000"/>
          <w:spacing w:val="-20"/>
          <w:sz w:val="30"/>
          <w:szCs w:val="30"/>
        </w:rPr>
        <w:t xml:space="preserve"> </w:t>
      </w:r>
      <w:r>
        <w:rPr>
          <w:rFonts w:eastAsia="方正仿宋简体" w:cs="Times New Roman"/>
          <w:color w:val="000000"/>
          <w:spacing w:val="-20"/>
          <w:sz w:val="30"/>
          <w:szCs w:val="30"/>
        </w:rPr>
        <w:t xml:space="preserve">                               检查</w:t>
      </w:r>
      <w:r>
        <w:rPr>
          <w:rFonts w:eastAsia="方正仿宋简体" w:cs="Times New Roman"/>
          <w:color w:val="000000"/>
          <w:sz w:val="30"/>
          <w:szCs w:val="30"/>
        </w:rPr>
        <w:t>日期：    年   月   日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426"/>
        <w:gridCol w:w="3402"/>
        <w:gridCol w:w="992"/>
        <w:gridCol w:w="28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4957" w:type="dxa"/>
            <w:gridSpan w:val="4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检查指标名称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59" w:lineRule="auto"/>
              <w:ind w:right="39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检查方法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检查结合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59" w:lineRule="auto"/>
              <w:ind w:right="37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59" w:lineRule="auto"/>
              <w:ind w:right="36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秋季动物防疫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59" w:lineRule="auto"/>
              <w:ind w:right="36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组织开展情况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Times New Roman"/>
                <w:sz w:val="22"/>
                <w:szCs w:val="22"/>
              </w:rPr>
              <w:t>1.是否</w:t>
            </w:r>
            <w:r>
              <w:rPr>
                <w:rFonts w:hint="eastAsia" w:ascii="宋体" w:hAnsi="宋体" w:cs="Times New Roman"/>
                <w:sz w:val="22"/>
                <w:szCs w:val="22"/>
              </w:rPr>
              <w:t>按照会议要求</w:t>
            </w:r>
            <w:r>
              <w:rPr>
                <w:rFonts w:ascii="宋体" w:hAnsi="宋体" w:cs="Times New Roman"/>
                <w:sz w:val="22"/>
                <w:szCs w:val="22"/>
              </w:rPr>
              <w:t>组织召开</w:t>
            </w:r>
            <w:r>
              <w:rPr>
                <w:rFonts w:hint="eastAsia" w:ascii="宋体" w:hAnsi="宋体" w:cs="Times New Roman"/>
                <w:sz w:val="22"/>
                <w:szCs w:val="22"/>
              </w:rPr>
              <w:t>乡镇部署、业务培训、规模养殖场（户）程序免疫安排等</w:t>
            </w:r>
            <w:r>
              <w:rPr>
                <w:rFonts w:ascii="宋体" w:hAnsi="宋体" w:cs="Times New Roman"/>
                <w:sz w:val="22"/>
                <w:szCs w:val="22"/>
              </w:rPr>
              <w:t>会议</w:t>
            </w:r>
            <w:r>
              <w:rPr>
                <w:rFonts w:hint="eastAsia" w:ascii="宋体" w:hAnsi="宋体" w:cs="Times New Roman"/>
                <w:sz w:val="22"/>
                <w:szCs w:val="22"/>
              </w:rPr>
              <w:t>；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查阅相关文件、工作资料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2、是否下发文件安排部署，是否签订责任制；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3、防疫物资是否组织到位，是否购买下发防疫耗材物资；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4、是否对各村免疫情况开展督促检查；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5、开展基层动物防疫社会化服务组织建设情况、是否加强村级防疫员队伍建设与管理。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59" w:lineRule="auto"/>
              <w:ind w:right="39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免疫监管工作情况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1、免疫疫苗、免疫物资是否建立台账，出、入库台账是否相符、完整；防疫物资分类管理及整洁情况；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查阅相关记录、资料、录入系统和实地查看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2、散养户猪、牛、羊、禽集中免疫完成情况；规模养殖场户程序免疫进展情况；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3、免疫采样监测组织开展情况；是否开展流行病学调查；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23" w:rightChars="11"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、疫病监测阳性畜禽处置情况，是否进行无害化处理；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5、是否按时、按质、按要求上报信息、总结及免疫报表。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6、免疫标识发放档案、佩戴情况；“免检联动”开展落实情况；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7、规模养殖场免疫及动物卫生跟踪监管情况，是否落实责任到人、监管台账是否更新完善。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59" w:lineRule="auto"/>
              <w:ind w:left="1" w:hanging="1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非洲猪瘟常态化防控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59" w:lineRule="auto"/>
              <w:ind w:right="39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组织开展情况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1、是否印发非洲猪瘟防控工作相关文件；是否组织召开相关会议；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查看相关材料。实地检查应急物资储备情况、值班记录。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left="1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2、是否建立有消毒药品、消毒器械等应急防控物资，防控物资是否建立记录台账；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left="1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3、是否组织相关站所联合开展违法违规检查。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left="1" w:hanging="1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259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防控措施落实情况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1、是否加强疫情监测排查，建立疫情排查台账，及时报送日报表。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查阅排查记录、日报表；工作记录，车辆备案台账，采样送检记录，消毒记录。告知书张贴等情况。</w:t>
            </w: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2、是否切实加强病死猪无害化处理环节非洲猪瘟风险管控，对发病死亡的生猪要及时采样送检；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44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3、生猪及产品调运监管、检疫出证、生猪（活畜禽）运输车辆备案监管制度等是否落实落细。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4、是否对生猪养殖场监管发放宣传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告知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资料； 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259" w:lineRule="auto"/>
              <w:ind w:right="-20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5、是否组织开展“大清洗、大消毒”，是否建立完善清洗消毒工作记录台账。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259" w:lineRule="auto"/>
              <w:ind w:right="10" w:rightChars="5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259" w:lineRule="auto"/>
              <w:ind w:left="-120" w:leftChars="-57" w:right="-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存在问题及检查整改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建议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259" w:lineRule="auto"/>
              <w:ind w:right="32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被检查乡镇签字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spacing w:line="259" w:lineRule="auto"/>
              <w:ind w:firstLine="0" w:firstLineChars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59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检查人员签字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59" w:lineRule="auto"/>
              <w:ind w:right="40" w:firstLine="0" w:firstLineChars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80" w:lineRule="exact"/>
        <w:ind w:firstLine="0" w:firstLineChars="0"/>
        <w:rPr>
          <w:rFonts w:eastAsia="方正仿宋简体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2"/>
      <w:pgMar w:top="1701" w:right="1440" w:bottom="1134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893621287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84261"/>
      <w:docPartObj>
        <w:docPartGallery w:val="autotext"/>
      </w:docPartObj>
    </w:sdtPr>
    <w:sdtContent>
      <w:p>
        <w:pPr>
          <w:pStyle w:val="4"/>
          <w:ind w:firstLine="360"/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BF"/>
    <w:rsid w:val="000D6961"/>
    <w:rsid w:val="000E697D"/>
    <w:rsid w:val="0012151F"/>
    <w:rsid w:val="001258AC"/>
    <w:rsid w:val="00132AA5"/>
    <w:rsid w:val="00145C8D"/>
    <w:rsid w:val="001601D2"/>
    <w:rsid w:val="00182319"/>
    <w:rsid w:val="001963FF"/>
    <w:rsid w:val="001E4FC2"/>
    <w:rsid w:val="001E5FA5"/>
    <w:rsid w:val="001F24EF"/>
    <w:rsid w:val="00243F96"/>
    <w:rsid w:val="00255B68"/>
    <w:rsid w:val="00262902"/>
    <w:rsid w:val="002712B9"/>
    <w:rsid w:val="002852BF"/>
    <w:rsid w:val="002B6EA8"/>
    <w:rsid w:val="002C099A"/>
    <w:rsid w:val="002E3082"/>
    <w:rsid w:val="002F1366"/>
    <w:rsid w:val="00303BC2"/>
    <w:rsid w:val="00321A9F"/>
    <w:rsid w:val="00335055"/>
    <w:rsid w:val="00372EE0"/>
    <w:rsid w:val="003804AF"/>
    <w:rsid w:val="00395079"/>
    <w:rsid w:val="003B5328"/>
    <w:rsid w:val="003C4248"/>
    <w:rsid w:val="004038CE"/>
    <w:rsid w:val="00432171"/>
    <w:rsid w:val="00451BB4"/>
    <w:rsid w:val="004A4F9F"/>
    <w:rsid w:val="004F2AFD"/>
    <w:rsid w:val="004F2F8F"/>
    <w:rsid w:val="005669D5"/>
    <w:rsid w:val="00571721"/>
    <w:rsid w:val="005C1313"/>
    <w:rsid w:val="005F07CF"/>
    <w:rsid w:val="00601B4D"/>
    <w:rsid w:val="006160E1"/>
    <w:rsid w:val="006365AD"/>
    <w:rsid w:val="00666653"/>
    <w:rsid w:val="00681F34"/>
    <w:rsid w:val="006841DB"/>
    <w:rsid w:val="00697052"/>
    <w:rsid w:val="006A6C54"/>
    <w:rsid w:val="006D3EA3"/>
    <w:rsid w:val="006F1EF8"/>
    <w:rsid w:val="006F7ACB"/>
    <w:rsid w:val="00722AAB"/>
    <w:rsid w:val="0077201C"/>
    <w:rsid w:val="00781124"/>
    <w:rsid w:val="00792929"/>
    <w:rsid w:val="0079689F"/>
    <w:rsid w:val="007D79BD"/>
    <w:rsid w:val="00825EA3"/>
    <w:rsid w:val="00892E8E"/>
    <w:rsid w:val="008D4E7C"/>
    <w:rsid w:val="00947EF4"/>
    <w:rsid w:val="009C773E"/>
    <w:rsid w:val="009E2E5E"/>
    <w:rsid w:val="009E648D"/>
    <w:rsid w:val="00A31AFD"/>
    <w:rsid w:val="00A44448"/>
    <w:rsid w:val="00A83556"/>
    <w:rsid w:val="00AD1172"/>
    <w:rsid w:val="00AD1DBA"/>
    <w:rsid w:val="00AD7C49"/>
    <w:rsid w:val="00AF1165"/>
    <w:rsid w:val="00B066DA"/>
    <w:rsid w:val="00B1406F"/>
    <w:rsid w:val="00B17E49"/>
    <w:rsid w:val="00B315DA"/>
    <w:rsid w:val="00B632C5"/>
    <w:rsid w:val="00B7784A"/>
    <w:rsid w:val="00B82C1E"/>
    <w:rsid w:val="00B9503F"/>
    <w:rsid w:val="00BA68D8"/>
    <w:rsid w:val="00BC7018"/>
    <w:rsid w:val="00BD249A"/>
    <w:rsid w:val="00C3677B"/>
    <w:rsid w:val="00C4066B"/>
    <w:rsid w:val="00C66CA0"/>
    <w:rsid w:val="00C87CF1"/>
    <w:rsid w:val="00D125C5"/>
    <w:rsid w:val="00D14E02"/>
    <w:rsid w:val="00D361A9"/>
    <w:rsid w:val="00D95D1D"/>
    <w:rsid w:val="00DC392E"/>
    <w:rsid w:val="00DC44C9"/>
    <w:rsid w:val="00DE789E"/>
    <w:rsid w:val="00DF4577"/>
    <w:rsid w:val="00E16E92"/>
    <w:rsid w:val="00E665B6"/>
    <w:rsid w:val="00E73763"/>
    <w:rsid w:val="00EA65C6"/>
    <w:rsid w:val="00EB50C3"/>
    <w:rsid w:val="00EC2454"/>
    <w:rsid w:val="00EE18B6"/>
    <w:rsid w:val="00F04815"/>
    <w:rsid w:val="00F1252A"/>
    <w:rsid w:val="00FC1B21"/>
    <w:rsid w:val="00FF4868"/>
    <w:rsid w:val="1DB4113F"/>
    <w:rsid w:val="289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="微软雅黑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outlineLvl w:val="0"/>
    </w:pPr>
    <w:rPr>
      <w:rFonts w:eastAsia="方正黑体简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outlineLvl w:val="1"/>
    </w:pPr>
    <w:rPr>
      <w:rFonts w:eastAsia="方正楷体简体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0"/>
    <w:rPr>
      <w:rFonts w:eastAsia="方正黑体简体"/>
      <w:bCs/>
      <w:kern w:val="44"/>
      <w:szCs w:val="44"/>
    </w:rPr>
  </w:style>
  <w:style w:type="character" w:customStyle="1" w:styleId="11">
    <w:name w:val="标题 2 字符"/>
    <w:basedOn w:val="9"/>
    <w:link w:val="3"/>
    <w:uiPriority w:val="0"/>
    <w:rPr>
      <w:rFonts w:eastAsia="方正楷体简体" w:asciiTheme="majorHAnsi" w:hAnsiTheme="majorHAnsi" w:cstheme="majorBidi"/>
      <w:bCs/>
      <w:szCs w:val="32"/>
    </w:rPr>
  </w:style>
  <w:style w:type="paragraph" w:customStyle="1" w:styleId="12">
    <w:name w:val="标题3"/>
    <w:basedOn w:val="1"/>
    <w:link w:val="13"/>
    <w:qFormat/>
    <w:uiPriority w:val="0"/>
    <w:pPr>
      <w:outlineLvl w:val="2"/>
    </w:pPr>
    <w:rPr>
      <w:b/>
      <w:szCs w:val="32"/>
    </w:rPr>
  </w:style>
  <w:style w:type="character" w:customStyle="1" w:styleId="13">
    <w:name w:val="标题3 字符"/>
    <w:basedOn w:val="9"/>
    <w:link w:val="12"/>
    <w:uiPriority w:val="0"/>
    <w:rPr>
      <w:b/>
      <w:szCs w:val="32"/>
    </w:rPr>
  </w:style>
  <w:style w:type="character" w:customStyle="1" w:styleId="14">
    <w:name w:val="标题 字符"/>
    <w:basedOn w:val="9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sz w:val="18"/>
      <w:szCs w:val="18"/>
    </w:rPr>
  </w:style>
  <w:style w:type="table" w:customStyle="1" w:styleId="17">
    <w:name w:val="TableGrid"/>
    <w:uiPriority w:val="0"/>
    <w:rPr>
      <w:rFonts w:asciiTheme="minorHAnsi" w:hAnsiTheme="minorHAnsi" w:eastAsiaTheme="minorEastAsia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24102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带格式</Template>
  <Pages>3</Pages>
  <Words>158</Words>
  <Characters>907</Characters>
  <Lines>7</Lines>
  <Paragraphs>2</Paragraphs>
  <TotalTime>520</TotalTime>
  <ScaleCrop>false</ScaleCrop>
  <LinksUpToDate>false</LinksUpToDate>
  <CharactersWithSpaces>1063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2020-08-25T02:19:00Z</dcterms:created>
  <dc:creator>Chen Zhiping</dc:creator>
  <cp:lastModifiedBy>蓉晴</cp:lastModifiedBy>
  <dcterms:modified xsi:type="dcterms:W3CDTF">2021-09-06T07:08:04Z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