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6"/>
          <w:szCs w:val="36"/>
          <w:lang w:val="en-US" w:eastAsia="zh-CN"/>
        </w:rPr>
      </w:pPr>
      <w:r>
        <w:rPr>
          <w:rFonts w:hint="default" w:ascii="Times New Roman" w:hAnsi="Times New Roman" w:cs="Times New Roman" w:eastAsiaTheme="minorEastAsia"/>
          <w:sz w:val="28"/>
          <w:szCs w:val="28"/>
          <w:lang w:val="en-US" w:eastAsia="zh-CN"/>
        </w:rPr>
        <w:t>附件3</w:t>
      </w:r>
    </w:p>
    <w:p>
      <w:pPr>
        <w:ind w:left="0" w:leftChars="0" w:right="0" w:rightChars="0" w:firstLine="0" w:firstLineChars="0"/>
        <w:jc w:val="center"/>
        <w:rPr>
          <w:rFonts w:hint="default" w:ascii="Times New Roman" w:hAnsi="Times New Roman" w:cs="Times New Roman"/>
          <w:sz w:val="36"/>
          <w:szCs w:val="36"/>
          <w:lang w:val="en-US" w:eastAsia="zh-CN"/>
        </w:rPr>
      </w:pPr>
      <w:bookmarkStart w:id="0" w:name="OLE_LINK1"/>
      <w:r>
        <w:rPr>
          <w:rFonts w:hint="default" w:ascii="Times New Roman" w:hAnsi="Times New Roman" w:cs="Times New Roman"/>
          <w:sz w:val="36"/>
          <w:szCs w:val="36"/>
          <w:lang w:val="en-US" w:eastAsia="zh-CN"/>
        </w:rPr>
        <w:t>姚安县交通运输局调整行政权力事项36项（2020版）</w:t>
      </w:r>
      <w:bookmarkEnd w:id="0"/>
    </w:p>
    <w:p>
      <w:pPr>
        <w:ind w:left="0" w:leftChars="0" w:right="0" w:rightChars="0" w:firstLine="0" w:firstLineChars="0"/>
        <w:jc w:val="center"/>
        <w:rPr>
          <w:rFonts w:hint="default" w:ascii="Times New Roman" w:hAnsi="Times New Roman" w:cs="Times New Roman"/>
          <w:sz w:val="36"/>
          <w:szCs w:val="36"/>
          <w:lang w:val="en-US" w:eastAsia="zh-CN"/>
        </w:rPr>
      </w:pPr>
    </w:p>
    <w:tbl>
      <w:tblPr>
        <w:tblStyle w:val="6"/>
        <w:tblW w:w="14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4"/>
        <w:gridCol w:w="2105"/>
        <w:gridCol w:w="3491"/>
        <w:gridCol w:w="1418"/>
        <w:gridCol w:w="1446"/>
        <w:gridCol w:w="3941"/>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0" w:hRule="atLeast"/>
        </w:trPr>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2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事项名称</w:t>
            </w:r>
          </w:p>
        </w:tc>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州级及以下权限</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事项类型</w:t>
            </w:r>
          </w:p>
        </w:tc>
        <w:tc>
          <w:tcPr>
            <w:tcW w:w="3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设定依据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省级业务</w:t>
            </w:r>
          </w:p>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指导部门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color w:val="000000"/>
                <w:sz w:val="28"/>
                <w:szCs w:val="28"/>
                <w:u w:val="none"/>
              </w:rPr>
            </w:pP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color w:val="000000"/>
                <w:sz w:val="28"/>
                <w:szCs w:val="28"/>
                <w:u w:val="none"/>
              </w:rPr>
            </w:pPr>
          </w:p>
        </w:tc>
        <w:tc>
          <w:tcPr>
            <w:tcW w:w="3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权限</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行使</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c>
          <w:tcPr>
            <w:tcW w:w="3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color w:val="000000"/>
                <w:sz w:val="28"/>
                <w:szCs w:val="28"/>
                <w:u w:val="none"/>
              </w:rPr>
            </w:pPr>
          </w:p>
        </w:tc>
        <w:tc>
          <w:tcPr>
            <w:tcW w:w="2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color w:val="000000"/>
                <w:sz w:val="28"/>
                <w:szCs w:val="28"/>
                <w:u w:val="none"/>
              </w:rPr>
            </w:pPr>
          </w:p>
        </w:tc>
        <w:tc>
          <w:tcPr>
            <w:tcW w:w="3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color w:val="000000"/>
                <w:sz w:val="28"/>
                <w:szCs w:val="28"/>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层级</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c>
          <w:tcPr>
            <w:tcW w:w="3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出租汽车类经营许可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出租汽车经营许可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出租汽车类经营许可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出租汽车车辆营运证核发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出租汽车类经营许可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出租汽车驾驶员从业资格证核发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《国务院对确需保留的行政审批项目设定行政许可的决定》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船舶检验证书核发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根据国家海事局核定批准的检验业务范围开展运输船舶、渔业船舶检验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《中华人民共和国渔业法》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道路旅客运输及客运站经营许可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道路旅客运输站（场）经营许可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道路旅客运输及客运站经营许可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道路旅客运输经营许可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公路、水运、铁路、城市轨道交通建设项目设计文件审批</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除高速公路、普通国省干线以外的公路建设项目初步设计文件审批；除国家高速公路、省级作为实施主体的普通国省干线以外的公路建设项目施工图设计文件审批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《建设工程质量管理条例》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公路、水运、铁路、城市轨道交通建设项目设计文件审批</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除澜沧江（南得坝至界河）以外，州、县级审批、核准或备案的不涉及跨省或跨州、市的水运工程建设项目初步设计文件和施工图设计文件审批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《建设工程质量管理条例》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公路建设项目施工许可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除国家高速公路以外的公路建设项目施工许可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涉路施工许可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占用、挖掘州管和县管公路（含公路用地）或者使州管和县管公路改线审批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涉路施工许可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跨越、穿越州管和县管公路及在州管和县管公路用地范围内架设、埋设管线、电缆等设施，或者利用州管和县管公路桥梁、隧道、涵洞铺设电缆等设施审批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涉路施工许可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在州管和县管公路设置非公路标志审批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涉路施工许可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在州管和县管公路增设或改造平面交叉道口审批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涉路施工许可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州管和县管公路建筑控制区内埋设管线、电缆等设施审批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更新采伐护路林审批</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更新采伐州管和县管公路护路林审批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公路、水运、铁路、城市轨道交通建设工程竣工验收</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公路建设项目竣工验收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公路超限运输许可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不涉及跨省和跨州、市的公路超限运输许可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《中华人民共和国公路法》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内河通航水域载运或拖带超重、超长、超高、超宽、半潜物体许可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内河通航水域载运或拖带超重、超长、超高、超宽、半潜物体许可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《中华人民共和国内河交通安全管理条例》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道路货物运输许可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普通货物道路运输经营许可（总质量</w:t>
            </w:r>
            <w:r>
              <w:rPr>
                <w:rStyle w:val="12"/>
                <w:rFonts w:hint="default" w:ascii="Times New Roman" w:hAnsi="Times New Roman" w:eastAsia="方正仿宋简体" w:cs="Times New Roman"/>
                <w:lang w:val="en-US" w:eastAsia="zh-CN" w:bidi="ar"/>
              </w:rPr>
              <w:t>4500</w:t>
            </w:r>
            <w:r>
              <w:rPr>
                <w:rStyle w:val="13"/>
                <w:rFonts w:hint="default" w:ascii="Times New Roman" w:hAnsi="Times New Roman" w:cs="Times New Roman"/>
                <w:lang w:val="en-US" w:eastAsia="zh-CN" w:bidi="ar"/>
              </w:rPr>
              <w:t>千克及以下普通货运车辆除外）</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道路货物运输许可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网络平台道路货物运输经营许可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机动车驾驶员培训许可</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机动车驾驶员培训许可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行政许可</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公路工程交工验收向交通主管部门备案</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除国家高速公路、省级作为实施主体的普通国省干线以外的公路建设项目交工验收备案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《公路工程竣（交）工验收办法》（交通部令2004年第3号）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公路施工作业验收</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州管和县管公路的涉路施工作业验收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《中华人民共和国道路交通安全法》《公路安全保护条例》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道路运输车辆年度审验</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道路运输车辆年度审验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货物运输及站场管理规定》（交通部令2005年第6号发布，交通运输部令2008年第9号第一次修正，交通运输部令2009年第3号第二次修正，交通运输部令2012年第1号第三次修正，交通运输部令2016年第35号第四次修正，交通运输部令2019年第17号第五次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车辆营运证配发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道路运输证配发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客运站站级核定</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除一、二级以外的客运站站级核定</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旅客运输及客运站管理规定》（交通部令2005年第10号发布，交通运输部令2008年第10号第一次修正，交通运输部令2009年第4号第二次修正，交通运输部令2012年第2号第三次修正，交通运输部令2012年第8号第四次修正，交通运输部令2016年第34号第五次修正，交通运输部令2016年第82号第六次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确认特定时段开行包车或者加班车资质</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确认特定时段开行包车或者加班车资质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道路旅客运输及客运站管理规定》（交通部令2005年第10号发布，交通运输部令2008年第10号第一次修正，交通运输部令2009年第4号第二次修正，交通运输部令2012年第2号第三次修正，交通运输部令2012年第8号第四次修正，交通运输部令2016年第34号第五次修正，交通运输部令2016年第82号第六次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出租汽车驾驶员从业资格注册</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出租汽车驾驶员从业资格注册</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《出租汽车驾驶员从业资格管理规定》（交通运输部令2011年第13号发布，交通运输部令2016年第63号修正）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船舶进出港口报告</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船舶进出港口手续办理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《中华人民共和国港口法》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车辆营运证配发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教练车证配发</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行政确认</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《机动车驾驶员培训管理规定》（交通部令2006年第2号发布，交通运输部令2016年第51号修正）《云南省道路运输条例》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对保护航标单位和个人的奖励</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对保护航标单位和个人的奖励</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行政奖励</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《中华人民共和国航标条例》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交通运输工程造价评审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地方高速公路预算审查，州、县级负责实施的其它公路建设项目的估算、概算、预算审查（全过程造价评审）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其他行政权力</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《云南省交通运输工程造价管理办法》（云南省人民政府令第164号）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交通运输工程造价评审</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除国家高速公路及省级负责实施以外的公路建设项目造价评审（招标控制价评审）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其他行政权力</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《云南省交通运输工程造价管理办法》（云南省人民政府令第164号）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水运工程开工备案</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除澜沧江（南得坝至界河）以外，州、县级审批、核准或备案的不涉及跨省或跨州、市的水运工程开工备案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其他行政权力</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《公路水运工程质量监督管理规定》（交通运输部令2017年第28号）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航行通（警）告办理</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航行通（警）告办理</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其他行政权力</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《中华人民共和国内河交通安全管理条例》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内河通航水域安全作业备案</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在内河通航水域进行可能影响通航安全的作业备案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州、县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其他行政权力</w:t>
            </w:r>
          </w:p>
        </w:tc>
        <w:tc>
          <w:tcPr>
            <w:tcW w:w="3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《中华人民共和国内河交通安全管理条例》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省交通运输厅</w:t>
            </w:r>
          </w:p>
        </w:tc>
      </w:tr>
    </w:tbl>
    <w:p>
      <w:pPr>
        <w:rPr>
          <w:rFonts w:hint="default" w:ascii="Times New Roman" w:hAnsi="Times New Roman" w:cs="Times New Roman"/>
        </w:rPr>
      </w:pPr>
    </w:p>
    <w:sectPr>
      <w:headerReference r:id="rId3" w:type="default"/>
      <w:footerReference r:id="rId4" w:type="default"/>
      <w:pgSz w:w="16838" w:h="11906" w:orient="landscape"/>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 xml:space="preserve">第 </w:t>
                          </w: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r>
                            <w:rPr>
                              <w:rFonts w:hint="default" w:ascii="Times New Roman" w:hAnsi="Times New Roman" w:cs="Times New Roman" w:eastAsiaTheme="minorEastAsia"/>
                              <w:sz w:val="21"/>
                              <w:szCs w:val="21"/>
                              <w:lang w:eastAsia="zh-CN"/>
                            </w:rPr>
                            <w:t xml:space="preserve"> 页 共 </w:t>
                          </w: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NUMPAGES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6</w:t>
                          </w:r>
                          <w:r>
                            <w:rPr>
                              <w:rFonts w:hint="default" w:ascii="Times New Roman" w:hAnsi="Times New Roman" w:cs="Times New Roman" w:eastAsiaTheme="minorEastAsia"/>
                              <w:sz w:val="21"/>
                              <w:szCs w:val="21"/>
                              <w:lang w:eastAsia="zh-CN"/>
                            </w:rPr>
                            <w:fldChar w:fldCharType="end"/>
                          </w:r>
                          <w:r>
                            <w:rPr>
                              <w:rFonts w:hint="default" w:ascii="Times New Roman" w:hAnsi="Times New Roman" w:cs="Times New Roman" w:eastAsiaTheme="minorEastAsia"/>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 xml:space="preserve">第 </w:t>
                    </w: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r>
                      <w:rPr>
                        <w:rFonts w:hint="default" w:ascii="Times New Roman" w:hAnsi="Times New Roman" w:cs="Times New Roman" w:eastAsiaTheme="minorEastAsia"/>
                        <w:sz w:val="21"/>
                        <w:szCs w:val="21"/>
                        <w:lang w:eastAsia="zh-CN"/>
                      </w:rPr>
                      <w:t xml:space="preserve"> 页 共 </w:t>
                    </w: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NUMPAGES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6</w:t>
                    </w:r>
                    <w:r>
                      <w:rPr>
                        <w:rFonts w:hint="default" w:ascii="Times New Roman" w:hAnsi="Times New Roman" w:cs="Times New Roman" w:eastAsiaTheme="minorEastAsia"/>
                        <w:sz w:val="21"/>
                        <w:szCs w:val="21"/>
                        <w:lang w:eastAsia="zh-CN"/>
                      </w:rPr>
                      <w:fldChar w:fldCharType="end"/>
                    </w:r>
                    <w:r>
                      <w:rPr>
                        <w:rFonts w:hint="default" w:ascii="Times New Roman" w:hAnsi="Times New Roman" w:cs="Times New Roman" w:eastAsiaTheme="minorEastAsia"/>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35CCA"/>
    <w:rsid w:val="0978039C"/>
    <w:rsid w:val="11371477"/>
    <w:rsid w:val="172A0727"/>
    <w:rsid w:val="295876AF"/>
    <w:rsid w:val="3E503518"/>
    <w:rsid w:val="4D374B67"/>
    <w:rsid w:val="59D17ED3"/>
    <w:rsid w:val="5B8A284D"/>
    <w:rsid w:val="604F7CA5"/>
    <w:rsid w:val="667939FA"/>
    <w:rsid w:val="695152F8"/>
    <w:rsid w:val="6B4555F4"/>
    <w:rsid w:val="77640D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eastAsia="方正小标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rPr>
      <w:rFonts w:ascii="Calibri" w:hAnsi="Calibri" w:eastAsia="方正仿宋简体"/>
      <w:sz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2"/>
    <w:qFormat/>
    <w:uiPriority w:val="0"/>
    <w:rPr>
      <w:rFonts w:eastAsia="方正小标宋简体" w:asciiTheme="minorAscii" w:hAnsiTheme="minorAscii"/>
      <w:b w:val="0"/>
      <w:sz w:val="36"/>
    </w:rPr>
  </w:style>
  <w:style w:type="paragraph" w:customStyle="1" w:styleId="8">
    <w:name w:val="大标题"/>
    <w:basedOn w:val="1"/>
    <w:qFormat/>
    <w:uiPriority w:val="0"/>
    <w:rPr>
      <w:rFonts w:eastAsia="黑体"/>
    </w:rPr>
  </w:style>
  <w:style w:type="paragraph" w:customStyle="1" w:styleId="9">
    <w:name w:val="文件名"/>
    <w:basedOn w:val="10"/>
    <w:qFormat/>
    <w:uiPriority w:val="0"/>
    <w:pPr>
      <w:ind w:firstLine="0" w:firstLineChars="0"/>
    </w:pPr>
    <w:rPr>
      <w:rFonts w:eastAsia="方正小标宋简体"/>
      <w:sz w:val="36"/>
    </w:rPr>
  </w:style>
  <w:style w:type="paragraph" w:customStyle="1" w:styleId="10">
    <w:name w:val="小标题"/>
    <w:basedOn w:val="1"/>
    <w:link w:val="11"/>
    <w:qFormat/>
    <w:uiPriority w:val="0"/>
    <w:pPr>
      <w:ind w:left="640" w:leftChars="200"/>
    </w:pPr>
    <w:rPr>
      <w:rFonts w:eastAsia="方正楷体简体"/>
    </w:rPr>
  </w:style>
  <w:style w:type="character" w:customStyle="1" w:styleId="11">
    <w:name w:val="小标题 Char"/>
    <w:link w:val="10"/>
    <w:qFormat/>
    <w:uiPriority w:val="0"/>
    <w:rPr>
      <w:rFonts w:eastAsia="方正楷体简体"/>
    </w:rPr>
  </w:style>
  <w:style w:type="character" w:customStyle="1" w:styleId="12">
    <w:name w:val="font11"/>
    <w:basedOn w:val="5"/>
    <w:qFormat/>
    <w:uiPriority w:val="0"/>
    <w:rPr>
      <w:rFonts w:hint="default" w:ascii="Times New Roman" w:hAnsi="Times New Roman" w:cs="Times New Roman"/>
      <w:color w:val="000000"/>
      <w:sz w:val="21"/>
      <w:szCs w:val="21"/>
      <w:u w:val="none"/>
    </w:rPr>
  </w:style>
  <w:style w:type="character" w:customStyle="1" w:styleId="13">
    <w:name w:val="font21"/>
    <w:basedOn w:val="5"/>
    <w:qFormat/>
    <w:uiPriority w:val="0"/>
    <w:rPr>
      <w:rFonts w:hint="eastAsia" w:ascii="方正仿宋简体" w:hAnsi="方正仿宋简体" w:eastAsia="方正仿宋简体" w:cs="方正仿宋简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2020-09-30T00:07:28Z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