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before="0" w:after="0" w:line="240" w:lineRule="auto"/>
        <w:jc w:val="center"/>
        <w:outlineLvl w:val="1"/>
        <w:rPr>
          <w:rFonts w:hint="eastAsia" w:asciiTheme="majorEastAsia" w:hAnsiTheme="majorEastAsia" w:eastAsiaTheme="majorEastAsia" w:cstheme="majorEastAsia"/>
          <w:sz w:val="52"/>
          <w:szCs w:val="52"/>
          <w:lang w:val="en-US" w:eastAsia="zh-CN"/>
        </w:rPr>
      </w:pPr>
      <w:bookmarkStart w:id="0" w:name="_Toc2701"/>
      <w:bookmarkStart w:id="1" w:name="_Toc11413"/>
      <w:r>
        <w:rPr>
          <w:rFonts w:hint="eastAsia" w:asciiTheme="majorEastAsia" w:hAnsiTheme="majorEastAsia" w:eastAsiaTheme="majorEastAsia" w:cstheme="majorEastAsia"/>
          <w:sz w:val="52"/>
          <w:szCs w:val="52"/>
          <w:lang w:val="en-US" w:eastAsia="zh-CN"/>
        </w:rPr>
        <w:t>楚雄州医保电子凭证扫码购药</w:t>
      </w:r>
    </w:p>
    <w:p>
      <w:pPr>
        <w:pStyle w:val="12"/>
        <w:spacing w:before="0" w:after="0" w:line="240" w:lineRule="auto"/>
        <w:jc w:val="center"/>
        <w:outlineLvl w:val="1"/>
        <w:rPr>
          <w:rFonts w:hint="eastAsia" w:asciiTheme="majorEastAsia" w:hAnsiTheme="majorEastAsia" w:eastAsiaTheme="majorEastAsia" w:cstheme="majorEastAsia"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52"/>
          <w:szCs w:val="52"/>
          <w:lang w:val="en-US" w:eastAsia="zh-CN"/>
        </w:rPr>
        <w:t>操作手册</w:t>
      </w:r>
    </w:p>
    <w:p>
      <w:pPr>
        <w:pStyle w:val="12"/>
        <w:spacing w:before="0" w:after="0" w:line="240" w:lineRule="auto"/>
        <w:jc w:val="center"/>
        <w:outlineLvl w:val="1"/>
        <w:rPr>
          <w:rFonts w:hint="default" w:asciiTheme="majorEastAsia" w:hAnsiTheme="majorEastAsia" w:eastAsiaTheme="majorEastAsia" w:cstheme="majorEastAsia"/>
          <w:sz w:val="52"/>
          <w:szCs w:val="52"/>
          <w:lang w:val="en-US" w:eastAsia="zh-CN"/>
        </w:rPr>
      </w:pPr>
    </w:p>
    <w:p>
      <w:pPr>
        <w:pStyle w:val="12"/>
        <w:spacing w:before="0" w:after="0" w:line="240" w:lineRule="auto"/>
        <w:jc w:val="center"/>
        <w:outlineLvl w:val="1"/>
        <w:rPr>
          <w:rFonts w:asciiTheme="majorEastAsia" w:hAnsiTheme="majorEastAsia" w:eastAsiaTheme="majorEastAsia" w:cstheme="majorEastAsia"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sz w:val="52"/>
          <w:szCs w:val="52"/>
          <w:lang w:val="en-US" w:eastAsia="zh-CN"/>
        </w:rPr>
        <w:t>一、系统安装</w:t>
      </w:r>
      <w:bookmarkEnd w:id="0"/>
    </w:p>
    <w:p>
      <w:pPr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1、打开浏览器，在地址栏输入</w:t>
      </w:r>
      <w:r>
        <w:rPr>
          <w:rFonts w:hint="default"/>
          <w:sz w:val="28"/>
          <w:szCs w:val="32"/>
          <w:lang w:val="en-US"/>
        </w:rPr>
        <w:t>(</w:t>
      </w:r>
      <w:r>
        <w:rPr>
          <w:rFonts w:hint="eastAsia"/>
          <w:sz w:val="28"/>
          <w:szCs w:val="32"/>
          <w:lang w:val="en-US" w:eastAsia="zh-CN"/>
        </w:rPr>
        <w:t>医保内网</w:t>
      </w:r>
      <w:r>
        <w:rPr>
          <w:rFonts w:hint="default"/>
          <w:sz w:val="28"/>
          <w:szCs w:val="32"/>
          <w:lang w:val="en-US"/>
        </w:rPr>
        <w:t>)</w:t>
      </w:r>
      <w:r>
        <w:rPr>
          <w:rFonts w:hint="eastAsia"/>
          <w:sz w:val="28"/>
          <w:szCs w:val="32"/>
        </w:rPr>
        <w:t>：</w:t>
      </w:r>
    </w:p>
    <w:p>
      <w:pPr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fldChar w:fldCharType="begin"/>
      </w:r>
      <w:r>
        <w:rPr>
          <w:rFonts w:hint="eastAsia"/>
          <w:sz w:val="28"/>
          <w:szCs w:val="32"/>
        </w:rPr>
        <w:instrText xml:space="preserve"> HYPERLINK "http://10.182.124.16:7199/framework" </w:instrText>
      </w:r>
      <w:r>
        <w:rPr>
          <w:rFonts w:hint="eastAsia"/>
          <w:sz w:val="28"/>
          <w:szCs w:val="32"/>
        </w:rPr>
        <w:fldChar w:fldCharType="separate"/>
      </w:r>
      <w:r>
        <w:rPr>
          <w:rStyle w:val="11"/>
          <w:rFonts w:hint="eastAsia"/>
          <w:sz w:val="28"/>
          <w:szCs w:val="32"/>
        </w:rPr>
        <w:t>http://10.182.124.16:7199/framework</w:t>
      </w:r>
      <w:r>
        <w:rPr>
          <w:rFonts w:hint="eastAsia"/>
          <w:sz w:val="28"/>
          <w:szCs w:val="32"/>
        </w:rPr>
        <w:fldChar w:fldCharType="end"/>
      </w:r>
    </w:p>
    <w:p>
      <w:pPr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2、</w:t>
      </w:r>
      <w:r>
        <w:rPr>
          <w:rFonts w:hint="eastAsia"/>
          <w:sz w:val="28"/>
          <w:szCs w:val="32"/>
          <w:lang w:val="en-US" w:eastAsia="zh-CN"/>
        </w:rPr>
        <w:t>点击登录框下方的“插件下载”</w:t>
      </w:r>
      <w:r>
        <w:rPr>
          <w:rFonts w:hint="eastAsia"/>
          <w:sz w:val="28"/>
          <w:szCs w:val="32"/>
        </w:rPr>
        <w:t>：</w:t>
      </w:r>
    </w:p>
    <w:p>
      <w:pPr>
        <w:pStyle w:val="15"/>
        <w:numPr>
          <w:ilvl w:val="0"/>
          <w:numId w:val="0"/>
        </w:numPr>
        <w:rPr>
          <w:rFonts w:asciiTheme="minorEastAsia" w:hAnsiTheme="minorEastAsia" w:cstheme="minorEastAsia"/>
          <w:sz w:val="36"/>
          <w:szCs w:val="36"/>
        </w:rPr>
      </w:pPr>
      <w:r>
        <w:rPr>
          <w:rFonts w:hint="eastAsia" w:eastAsia="宋体" w:asciiTheme="minorEastAsia" w:hAnsiTheme="minorEastAsia" w:cstheme="minorEastAsia"/>
          <w:sz w:val="36"/>
          <w:szCs w:val="36"/>
          <w:lang w:eastAsia="zh-CN"/>
        </w:rPr>
        <w:drawing>
          <wp:inline distT="0" distB="0" distL="114300" distR="114300">
            <wp:extent cx="5271135" cy="2221230"/>
            <wp:effectExtent l="0" t="0" r="5715" b="7620"/>
            <wp:docPr id="1" name="图片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32"/>
          <w:lang w:val="en-US" w:eastAsia="zh-CN"/>
        </w:rPr>
        <w:t>如图下载webhis一键安装包，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安装后将弹出3个安装程序: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  <w:lang w:val="en-US" w:eastAsia="zh-CN"/>
        </w:rPr>
        <w:t>Microsoft.NET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、微软常用运行库、东软Webhis客户端（安装时选择楚雄州）</w:t>
      </w:r>
      <w:r>
        <w:rPr>
          <w:rFonts w:hint="eastAsia"/>
          <w:sz w:val="28"/>
          <w:szCs w:val="28"/>
          <w:lang w:val="en-US" w:eastAsia="zh-CN"/>
        </w:rPr>
        <w:t>。依次点击下一步，全部完成安装即可使用。</w:t>
      </w:r>
    </w:p>
    <w:p>
      <w:pPr>
        <w:pStyle w:val="15"/>
        <w:numPr>
          <w:ilvl w:val="0"/>
          <w:numId w:val="0"/>
        </w:numPr>
        <w:jc w:val="center"/>
        <w:rPr>
          <w:rFonts w:asciiTheme="minorEastAsia" w:hAnsiTheme="minorEastAsia" w:cstheme="minorEastAsia"/>
          <w:sz w:val="36"/>
          <w:szCs w:val="36"/>
        </w:rPr>
      </w:pPr>
      <w:r>
        <w:rPr>
          <w:rFonts w:hint="eastAsia" w:asciiTheme="minorEastAsia" w:hAnsiTheme="minorEastAsia" w:cstheme="minorEastAsia"/>
          <w:b/>
          <w:bCs/>
          <w:sz w:val="52"/>
          <w:szCs w:val="52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52"/>
          <w:szCs w:val="52"/>
        </w:rPr>
        <w:t>登录系统</w:t>
      </w:r>
    </w:p>
    <w:p>
      <w:pPr>
        <w:pStyle w:val="15"/>
        <w:ind w:left="420" w:firstLine="560" w:firstLineChars="200"/>
        <w:rPr>
          <w:rFonts w:hint="default" w:eastAsia="宋体" w:asciiTheme="minorEastAsia" w:hAnsi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点击桌面“东软Webhis”图标即可进入系统</w:t>
      </w:r>
    </w:p>
    <w:p>
      <w:pPr>
        <w:pStyle w:val="15"/>
        <w:ind w:left="420" w:firstLine="560" w:firstLineChars="200"/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用户名：定点编号+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99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 xml:space="preserve">  初始</w:t>
      </w:r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密码：4</w:t>
      </w:r>
      <w:r>
        <w:rPr>
          <w:rFonts w:asciiTheme="minorEastAsia" w:hAnsiTheme="minorEastAsia" w:cstheme="minorEastAsia"/>
          <w:color w:val="FF0000"/>
          <w:sz w:val="28"/>
          <w:szCs w:val="28"/>
        </w:rPr>
        <w:t>00</w:t>
      </w:r>
      <w:bookmarkStart w:id="11" w:name="_GoBack"/>
      <w:bookmarkEnd w:id="11"/>
    </w:p>
    <w:p>
      <w:pPr>
        <w:pStyle w:val="15"/>
        <w:ind w:left="420" w:firstLine="0" w:firstLineChars="0"/>
        <w:rPr>
          <w:rFonts w:asciiTheme="minorEastAsia" w:hAnsiTheme="minorEastAsia" w:cstheme="minorEastAsia"/>
          <w:color w:val="FF0000"/>
          <w:sz w:val="28"/>
          <w:szCs w:val="28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 w:eastAsia="宋体" w:asciiTheme="minorEastAsia" w:hAnsiTheme="minorEastAsia" w:cstheme="minorEastAsia"/>
          <w:b/>
          <w:bCs/>
          <w:color w:val="auto"/>
          <w:kern w:val="2"/>
          <w:sz w:val="52"/>
          <w:szCs w:val="52"/>
          <w:lang w:val="en-US" w:eastAsia="zh-CN" w:bidi="ar-SA"/>
        </w:rPr>
      </w:pPr>
      <w:r>
        <w:rPr>
          <w:rFonts w:hint="eastAsia" w:eastAsia="宋体" w:asciiTheme="minorEastAsia" w:hAnsiTheme="minorEastAsia" w:cstheme="minorEastAsia"/>
          <w:b/>
          <w:bCs/>
          <w:color w:val="auto"/>
          <w:kern w:val="2"/>
          <w:sz w:val="52"/>
          <w:szCs w:val="52"/>
          <w:lang w:val="en-US" w:eastAsia="zh-CN" w:bidi="ar-SA"/>
        </w:rPr>
        <w:t>扫码结算</w:t>
      </w:r>
    </w:p>
    <w:p>
      <w:pPr>
        <w:numPr>
          <w:ilvl w:val="0"/>
          <w:numId w:val="0"/>
        </w:numPr>
        <w:ind w:firstLine="602" w:firstLineChars="200"/>
        <w:jc w:val="both"/>
        <w:rPr>
          <w:rFonts w:hint="default" w:eastAsia="宋体" w:asciiTheme="minorEastAsia" w:hAnsiTheme="minorEastAsia" w:cstheme="minorEastAsia"/>
          <w:b/>
          <w:bCs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eastAsia="宋体" w:asciiTheme="minorEastAsia" w:hAnsiTheme="minorEastAsia" w:cstheme="minorEastAsia"/>
          <w:b/>
          <w:bCs/>
          <w:color w:val="FF0000"/>
          <w:kern w:val="2"/>
          <w:sz w:val="30"/>
          <w:szCs w:val="30"/>
          <w:lang w:val="en-US" w:eastAsia="zh-CN" w:bidi="ar-SA"/>
        </w:rPr>
        <w:t>注：本系统同时支持扫码结算和读卡结算，即原东软结算系统可停用，直接使用该系统，不需两个系统来回切换。月底与医保申报结算方式和原来相同，在同步工具打印申报表。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1医保电子凭证扫码操作</w:t>
      </w:r>
      <w:bookmarkEnd w:id="1"/>
    </w:p>
    <w:p>
      <w:pPr>
        <w:pStyle w:val="3"/>
        <w:bidi w:val="0"/>
        <w:outlineLvl w:val="0"/>
        <w:rPr>
          <w:rFonts w:hint="eastAsia"/>
          <w:b/>
          <w:lang w:val="en-US" w:eastAsia="zh-CN"/>
        </w:rPr>
      </w:pPr>
      <w:bookmarkStart w:id="2" w:name="_Toc3416"/>
      <w:r>
        <w:rPr>
          <w:rFonts w:hint="eastAsia"/>
          <w:b/>
          <w:lang w:val="en-US" w:eastAsia="zh-CN"/>
        </w:rPr>
        <w:t>1.1 选中扫码窗口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  <w:lang w:val="en-US" w:eastAsia="zh-CN"/>
        </w:rPr>
        <w:t>门诊收费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，在下拉菜单中选中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费用结算（扫码）。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textAlignment w:val="auto"/>
        <w:outlineLvl w:val="9"/>
        <w:rPr>
          <w:rFonts w:hint="default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（读卡结算则进入第一个菜单“费用结算β”）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960" cy="2820670"/>
            <wp:effectExtent l="0" t="0" r="8890" b="177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</w:pPr>
    </w:p>
    <w:p>
      <w:pPr>
        <w:pStyle w:val="3"/>
        <w:bidi w:val="0"/>
        <w:outlineLvl w:val="0"/>
        <w:rPr>
          <w:rFonts w:hint="eastAsia"/>
          <w:b/>
          <w:lang w:val="en-US" w:eastAsia="zh-CN"/>
        </w:rPr>
      </w:pPr>
      <w:bookmarkStart w:id="3" w:name="_Toc14844"/>
      <w:r>
        <w:rPr>
          <w:rFonts w:hint="eastAsia"/>
          <w:b/>
          <w:lang w:val="en-US" w:eastAsia="zh-CN"/>
        </w:rPr>
        <w:t>1.2录入录入诊断和项目</w:t>
      </w:r>
      <w:bookmarkEnd w:id="3"/>
    </w:p>
    <w:p>
      <w:pPr>
        <w:ind w:firstLine="602" w:firstLineChars="200"/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color w:val="FF0000"/>
          <w:sz w:val="30"/>
          <w:szCs w:val="30"/>
          <w:lang w:val="en-US" w:eastAsia="zh-CN"/>
        </w:rPr>
        <w:t>注：使用扫码枪并对照过药店销售系统药品目录的，可点击下方“明细二维码”直接扫码获取销售药品。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/>
          <w:bCs/>
          <w:sz w:val="28"/>
          <w:szCs w:val="28"/>
        </w:rPr>
        <w:t>录入</w:t>
      </w:r>
      <w:r>
        <w:rPr>
          <w:rFonts w:hint="eastAsia"/>
          <w:b/>
          <w:bCs/>
          <w:sz w:val="28"/>
          <w:szCs w:val="28"/>
          <w:lang w:val="en-US" w:eastAsia="zh-CN"/>
        </w:rPr>
        <w:t>诊断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val="en-US" w:eastAsia="zh-CN"/>
        </w:rPr>
        <w:t>诊断</w:t>
      </w:r>
      <w:r>
        <w:rPr>
          <w:rFonts w:hint="eastAsia"/>
          <w:sz w:val="28"/>
          <w:szCs w:val="28"/>
        </w:rPr>
        <w:t>文本框中，输入</w:t>
      </w:r>
      <w:r>
        <w:rPr>
          <w:rFonts w:hint="eastAsia"/>
          <w:sz w:val="28"/>
          <w:szCs w:val="28"/>
          <w:lang w:val="en-US" w:eastAsia="zh-CN"/>
        </w:rPr>
        <w:t>诊断</w:t>
      </w:r>
      <w:r>
        <w:rPr>
          <w:rFonts w:hint="eastAsia"/>
          <w:sz w:val="28"/>
          <w:szCs w:val="28"/>
        </w:rPr>
        <w:t>的名称或者拼音码，通过使用键盘的上下键选中所需的项目后按回车</w:t>
      </w:r>
      <w:r>
        <w:rPr>
          <w:rFonts w:hint="eastAsia"/>
          <w:sz w:val="28"/>
          <w:szCs w:val="28"/>
          <w:lang w:val="en-US" w:eastAsia="zh-CN"/>
        </w:rPr>
        <w:t>或用鼠标点击选中。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textAlignment w:val="auto"/>
        <w:outlineLvl w:val="9"/>
      </w:pPr>
      <w:r>
        <w:rPr>
          <w:rFonts w:hint="eastAsia"/>
          <w:b/>
          <w:bCs/>
          <w:sz w:val="28"/>
          <w:szCs w:val="28"/>
          <w:lang w:val="en-US" w:eastAsia="zh-CN"/>
        </w:rPr>
        <w:t>录入项目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eastAsia"/>
          <w:sz w:val="28"/>
          <w:szCs w:val="28"/>
        </w:rPr>
        <w:t>录入收费药品或项目，在项目文本框中，输入项目的</w:t>
      </w:r>
      <w:r>
        <w:rPr>
          <w:rFonts w:hint="eastAsia"/>
          <w:b/>
          <w:bCs/>
          <w:sz w:val="28"/>
          <w:szCs w:val="28"/>
        </w:rPr>
        <w:t>名称</w:t>
      </w:r>
      <w:r>
        <w:rPr>
          <w:rFonts w:hint="eastAsia"/>
          <w:b w:val="0"/>
          <w:bCs w:val="0"/>
          <w:sz w:val="28"/>
          <w:szCs w:val="28"/>
        </w:rPr>
        <w:t>或者</w:t>
      </w:r>
      <w:r>
        <w:rPr>
          <w:rFonts w:hint="eastAsia"/>
          <w:b/>
          <w:bCs/>
          <w:sz w:val="28"/>
          <w:szCs w:val="28"/>
        </w:rPr>
        <w:t>拼音码</w:t>
      </w:r>
      <w:r>
        <w:rPr>
          <w:rFonts w:hint="eastAsia"/>
          <w:sz w:val="28"/>
          <w:szCs w:val="28"/>
        </w:rPr>
        <w:t>，通过使用键盘的上下键选中所需的项目后按回车选中，之后录入</w:t>
      </w:r>
      <w:r>
        <w:rPr>
          <w:rFonts w:hint="eastAsia"/>
          <w:b/>
          <w:bCs/>
          <w:sz w:val="28"/>
          <w:szCs w:val="28"/>
        </w:rPr>
        <w:t>单价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</w:rPr>
        <w:t>数量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bCs/>
          <w:sz w:val="28"/>
          <w:szCs w:val="28"/>
        </w:rPr>
        <w:t>单位</w:t>
      </w:r>
      <w:r>
        <w:rPr>
          <w:rFonts w:hint="eastAsia"/>
          <w:sz w:val="28"/>
          <w:szCs w:val="28"/>
        </w:rPr>
        <w:t>后按回车，“费用明细”表格中将会显示刚才录入的项目，光标回到“项目”文本框，可以继续录入其他的收费项目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2" w:firstLineChars="20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删除项目</w:t>
      </w:r>
      <w:r>
        <w:rPr>
          <w:rFonts w:hint="eastAsia"/>
          <w:sz w:val="28"/>
          <w:szCs w:val="28"/>
          <w:lang w:val="en-US" w:eastAsia="zh-CN"/>
        </w:rPr>
        <w:t>：</w:t>
      </w:r>
      <w:r>
        <w:rPr>
          <w:rFonts w:hint="eastAsia"/>
          <w:sz w:val="28"/>
          <w:szCs w:val="28"/>
        </w:rPr>
        <w:t>如果发现录入的费用信息有误，可以选中错误的费用明细信息，点击“删除一行”按钮，删除选中的费用信息，然后重新开立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/>
          <w:lang w:val="en-US" w:eastAsia="zh-CN"/>
        </w:rPr>
      </w:pPr>
    </w:p>
    <w:p>
      <w:pPr>
        <w:pStyle w:val="3"/>
        <w:bidi w:val="0"/>
        <w:outlineLvl w:val="0"/>
        <w:rPr>
          <w:rFonts w:hint="eastAsia"/>
          <w:b/>
          <w:lang w:val="en-US" w:eastAsia="zh-CN"/>
        </w:rPr>
      </w:pPr>
      <w:bookmarkStart w:id="4" w:name="_Toc16506"/>
      <w:r>
        <w:rPr>
          <w:rFonts w:hint="eastAsia"/>
          <w:b/>
          <w:lang w:val="en-US" w:eastAsia="zh-CN"/>
        </w:rPr>
        <w:t>1.3 打开医保电子凭证支付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在打开窗口中点击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医保电子凭证支付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5420" cy="2927985"/>
            <wp:effectExtent l="0" t="0" r="11430" b="5715"/>
            <wp:docPr id="26" name="图片 26" descr="1587443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8744353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pStyle w:val="3"/>
        <w:bidi w:val="0"/>
        <w:outlineLvl w:val="0"/>
        <w:rPr>
          <w:rFonts w:hint="eastAsia"/>
          <w:b/>
          <w:lang w:val="en-US" w:eastAsia="zh-CN"/>
        </w:rPr>
      </w:pPr>
      <w:bookmarkStart w:id="5" w:name="_Toc23600"/>
      <w:r>
        <w:rPr>
          <w:rFonts w:hint="eastAsia"/>
          <w:b/>
          <w:lang w:val="en-US" w:eastAsia="zh-CN"/>
        </w:rPr>
        <w:t>1.4 选择接口类型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选择接口类型，本地或异地医保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5420" cy="2901315"/>
            <wp:effectExtent l="0" t="0" r="11430" b="13335"/>
            <wp:docPr id="27" name="图片 27" descr="15874436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744362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0"/>
        <w:rPr>
          <w:rFonts w:hint="eastAsia"/>
          <w:b/>
          <w:lang w:val="en-US" w:eastAsia="zh-CN"/>
        </w:rPr>
      </w:pPr>
      <w:bookmarkStart w:id="6" w:name="_Toc15916"/>
      <w:r>
        <w:rPr>
          <w:rFonts w:hint="eastAsia"/>
          <w:b/>
          <w:lang w:val="en-US" w:eastAsia="zh-CN"/>
        </w:rPr>
        <w:t>1.5 扫码支付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使用鼠标点击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电子凭证编码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后的空白框。用扫码枪扫描客户手机上的医保电子凭证二维码或条形码。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</w:pPr>
      <w:r>
        <w:drawing>
          <wp:inline distT="0" distB="0" distL="114300" distR="114300">
            <wp:extent cx="5266690" cy="2620010"/>
            <wp:effectExtent l="0" t="0" r="10160" b="889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7" w:name="_Toc28881"/>
      <w:r>
        <w:rPr>
          <w:rFonts w:hint="eastAsia"/>
          <w:lang w:val="en-US" w:eastAsia="zh-CN"/>
        </w:rPr>
        <w:t>1.6 支付状态</w:t>
      </w:r>
      <w:bookmarkEnd w:id="7"/>
    </w:p>
    <w:p>
      <w:pPr>
        <w:numPr>
          <w:ilvl w:val="0"/>
          <w:numId w:val="0"/>
        </w:numPr>
        <w:ind w:firstLine="560"/>
        <w:rPr>
          <w:rFonts w:hint="eastAsia"/>
          <w:b w:val="0"/>
          <w:bCs w:val="0"/>
          <w:sz w:val="28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支付后，支付成功如下图显示。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2604135"/>
            <wp:effectExtent l="0" t="0" r="7620" b="5715"/>
            <wp:docPr id="32" name="图片 32" descr="15874445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8744459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8" w:name="_Toc10057"/>
      <w:r>
        <w:rPr>
          <w:rFonts w:hint="eastAsia"/>
          <w:lang w:val="en-US" w:eastAsia="zh-CN"/>
        </w:rPr>
        <w:t>1.7打印单据</w:t>
      </w:r>
      <w:bookmarkEnd w:id="8"/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点击</w:t>
      </w:r>
      <w:r>
        <w:rPr>
          <w:rFonts w:hint="eastAsia"/>
          <w:b/>
          <w:bCs/>
          <w:sz w:val="28"/>
          <w:szCs w:val="28"/>
          <w:lang w:val="en-US" w:eastAsia="zh-CN"/>
        </w:rPr>
        <w:t>打印，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打印结算单据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692400"/>
            <wp:effectExtent l="0" t="0" r="5715" b="1270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56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如果需要</w:t>
      </w:r>
      <w:r>
        <w:rPr>
          <w:rFonts w:hint="eastAsia"/>
          <w:b/>
          <w:bCs/>
          <w:sz w:val="28"/>
          <w:szCs w:val="28"/>
          <w:lang w:val="en-US" w:eastAsia="zh-CN"/>
        </w:rPr>
        <w:t>补打单据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，可以点击</w:t>
      </w:r>
      <w:r>
        <w:rPr>
          <w:rFonts w:hint="eastAsia"/>
          <w:b/>
          <w:bCs/>
          <w:sz w:val="28"/>
          <w:szCs w:val="28"/>
          <w:lang w:val="en-US" w:eastAsia="zh-CN"/>
        </w:rPr>
        <w:t>收费管理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，选择下拉菜单中的</w:t>
      </w:r>
      <w:r>
        <w:rPr>
          <w:rFonts w:hint="eastAsia"/>
          <w:b/>
          <w:bCs/>
          <w:sz w:val="28"/>
          <w:szCs w:val="28"/>
          <w:lang w:val="en-US" w:eastAsia="zh-CN"/>
        </w:rPr>
        <w:t>单据补打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，输入</w:t>
      </w:r>
      <w:r>
        <w:rPr>
          <w:rFonts w:hint="eastAsia"/>
          <w:b/>
          <w:bCs/>
          <w:sz w:val="28"/>
          <w:szCs w:val="28"/>
          <w:lang w:val="en-US" w:eastAsia="zh-CN"/>
        </w:rPr>
        <w:t>单据号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sz w:val="28"/>
          <w:szCs w:val="28"/>
          <w:lang w:val="en-US" w:eastAsia="zh-CN"/>
        </w:rPr>
        <w:t>患者姓名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，点击</w:t>
      </w:r>
      <w:r>
        <w:rPr>
          <w:rFonts w:hint="eastAsia"/>
          <w:b/>
          <w:bCs/>
          <w:sz w:val="28"/>
          <w:szCs w:val="28"/>
          <w:lang w:val="en-US" w:eastAsia="zh-CN"/>
        </w:rPr>
        <w:t>查询并补打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9" w:name="_Toc20506"/>
      <w:r>
        <w:rPr>
          <w:rFonts w:hint="eastAsia"/>
          <w:lang w:val="en-US" w:eastAsia="zh-CN"/>
        </w:rPr>
        <w:t>1.8 客户退费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药店人员点击</w:t>
      </w:r>
      <w:r>
        <w:rPr>
          <w:rFonts w:hint="eastAsia"/>
          <w:b/>
          <w:bCs/>
          <w:sz w:val="28"/>
          <w:szCs w:val="28"/>
          <w:lang w:val="en-US" w:eastAsia="zh-CN"/>
        </w:rPr>
        <w:t>收费管理</w:t>
      </w:r>
      <w:r>
        <w:rPr>
          <w:rFonts w:hint="eastAsia"/>
          <w:sz w:val="28"/>
          <w:szCs w:val="28"/>
          <w:lang w:val="en-US" w:eastAsia="zh-CN"/>
        </w:rPr>
        <w:t>，选择下拉菜单中的</w:t>
      </w:r>
      <w:r>
        <w:rPr>
          <w:rFonts w:hint="eastAsia"/>
          <w:b/>
          <w:bCs/>
          <w:sz w:val="28"/>
          <w:szCs w:val="28"/>
          <w:lang w:val="en-US" w:eastAsia="zh-CN"/>
        </w:rPr>
        <w:t>结算撤销</w:t>
      </w:r>
      <w:r>
        <w:rPr>
          <w:rFonts w:hint="eastAsia"/>
          <w:sz w:val="28"/>
          <w:szCs w:val="28"/>
          <w:lang w:val="en-US" w:eastAsia="zh-CN"/>
        </w:rPr>
        <w:t>，选择</w:t>
      </w:r>
      <w:r>
        <w:rPr>
          <w:rFonts w:hint="eastAsia"/>
          <w:b/>
          <w:bCs/>
          <w:sz w:val="28"/>
          <w:szCs w:val="28"/>
          <w:lang w:val="en-US" w:eastAsia="zh-CN"/>
        </w:rPr>
        <w:t>结算时间</w:t>
      </w:r>
      <w:r>
        <w:rPr>
          <w:rFonts w:hint="eastAsia"/>
          <w:sz w:val="28"/>
          <w:szCs w:val="28"/>
          <w:lang w:val="en-US" w:eastAsia="zh-CN"/>
        </w:rPr>
        <w:t>，输入</w:t>
      </w:r>
      <w:r>
        <w:rPr>
          <w:rFonts w:hint="eastAsia"/>
          <w:b/>
          <w:bCs/>
          <w:sz w:val="28"/>
          <w:szCs w:val="28"/>
          <w:lang w:val="en-US" w:eastAsia="zh-CN"/>
        </w:rPr>
        <w:t>单据号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sz w:val="28"/>
          <w:szCs w:val="28"/>
          <w:lang w:val="en-US" w:eastAsia="zh-CN"/>
        </w:rPr>
        <w:t>姓名</w:t>
      </w:r>
      <w:r>
        <w:rPr>
          <w:rFonts w:hint="eastAsia"/>
          <w:sz w:val="28"/>
          <w:szCs w:val="28"/>
          <w:lang w:val="en-US" w:eastAsia="zh-CN"/>
        </w:rPr>
        <w:t>，点击</w:t>
      </w:r>
      <w:r>
        <w:rPr>
          <w:rFonts w:hint="eastAsia"/>
          <w:b/>
          <w:bCs/>
          <w:sz w:val="28"/>
          <w:szCs w:val="28"/>
          <w:lang w:val="en-US" w:eastAsia="zh-CN"/>
        </w:rPr>
        <w:t>查询</w:t>
      </w:r>
      <w:r>
        <w:rPr>
          <w:rFonts w:hint="eastAsia"/>
          <w:sz w:val="28"/>
          <w:szCs w:val="28"/>
          <w:lang w:val="en-US" w:eastAsia="zh-CN"/>
        </w:rPr>
        <w:t>，选择要作废的结算。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5420" cy="2517775"/>
            <wp:effectExtent l="0" t="0" r="11430" b="1587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然后点击</w:t>
      </w:r>
      <w:r>
        <w:rPr>
          <w:rFonts w:hint="eastAsia"/>
          <w:b/>
          <w:bCs/>
          <w:sz w:val="28"/>
          <w:szCs w:val="28"/>
          <w:lang w:val="en-US" w:eastAsia="zh-CN"/>
        </w:rPr>
        <w:t>作废结算。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使用鼠标点击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电子凭证编码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后的空白框。用扫码枪扫描客户手机上的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医保电子凭证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二维码或条形码。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4310" cy="2530475"/>
            <wp:effectExtent l="0" t="0" r="2540" b="317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退费成功后，如下图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049270"/>
            <wp:effectExtent l="0" t="0" r="4445" b="1778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10" w:name="_Toc2727"/>
      <w:r>
        <w:rPr>
          <w:rFonts w:hint="eastAsia"/>
          <w:lang w:val="en-US" w:eastAsia="zh-CN"/>
        </w:rPr>
        <w:t>2 结算查询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门诊收费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下的</w:t>
      </w:r>
      <w:r>
        <w:rPr>
          <w:rFonts w:hint="eastAsia"/>
          <w:b/>
          <w:bCs/>
          <w:sz w:val="32"/>
          <w:szCs w:val="32"/>
          <w:lang w:val="en-US" w:eastAsia="zh-CN"/>
        </w:rPr>
        <w:t>结算查询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窗口，可选择</w:t>
      </w:r>
      <w:r>
        <w:rPr>
          <w:rFonts w:hint="eastAsia"/>
          <w:b/>
          <w:bCs/>
          <w:sz w:val="32"/>
          <w:szCs w:val="32"/>
          <w:lang w:val="en-US" w:eastAsia="zh-CN"/>
        </w:rPr>
        <w:t>结算类别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来查询医保电子凭证扫码结算。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2484120"/>
            <wp:effectExtent l="0" t="0" r="12700" b="1143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owpkVAgAAFQ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yowpk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both"/>
      <w:rPr>
        <w:rFonts w:hint="eastAsia" w:eastAsiaTheme="minorEastAsia"/>
        <w:lang w:val="en-US" w:eastAsia="zh-CN"/>
      </w:rPr>
    </w:pPr>
    <w:r>
      <w:drawing>
        <wp:inline distT="0" distB="0" distL="0" distR="0">
          <wp:extent cx="1510030" cy="485775"/>
          <wp:effectExtent l="0" t="0" r="13970" b="952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003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605D2"/>
    <w:multiLevelType w:val="singleLevel"/>
    <w:tmpl w:val="6B1605D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D714C"/>
    <w:rsid w:val="02850FC8"/>
    <w:rsid w:val="04ED089A"/>
    <w:rsid w:val="050C1C3F"/>
    <w:rsid w:val="098745F6"/>
    <w:rsid w:val="11AD63ED"/>
    <w:rsid w:val="13F80BEA"/>
    <w:rsid w:val="18F45094"/>
    <w:rsid w:val="1D743FA4"/>
    <w:rsid w:val="22570352"/>
    <w:rsid w:val="232E6603"/>
    <w:rsid w:val="24B7717D"/>
    <w:rsid w:val="322D02B9"/>
    <w:rsid w:val="32566FF5"/>
    <w:rsid w:val="33F17FF7"/>
    <w:rsid w:val="357071B9"/>
    <w:rsid w:val="36D95862"/>
    <w:rsid w:val="3BD95F9E"/>
    <w:rsid w:val="3DB73753"/>
    <w:rsid w:val="3DDB4F26"/>
    <w:rsid w:val="3E1C61B7"/>
    <w:rsid w:val="43876862"/>
    <w:rsid w:val="44BE2581"/>
    <w:rsid w:val="47FA3EC6"/>
    <w:rsid w:val="4B6111D1"/>
    <w:rsid w:val="51C234F1"/>
    <w:rsid w:val="52344A9A"/>
    <w:rsid w:val="563B3AA8"/>
    <w:rsid w:val="5C3968CC"/>
    <w:rsid w:val="5EC26B15"/>
    <w:rsid w:val="650E117E"/>
    <w:rsid w:val="682D7860"/>
    <w:rsid w:val="6F13377E"/>
    <w:rsid w:val="70A50ED5"/>
    <w:rsid w:val="72AC5362"/>
    <w:rsid w:val="736F3307"/>
    <w:rsid w:val="744B69B2"/>
    <w:rsid w:val="793C76E9"/>
    <w:rsid w:val="7E24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样式1"/>
    <w:basedOn w:val="2"/>
    <w:qFormat/>
    <w:uiPriority w:val="0"/>
    <w:rPr>
      <w:rFonts w:eastAsia="黑体"/>
      <w:sz w:val="32"/>
    </w:r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styleId="15">
    <w:name w:val="List Paragraph"/>
    <w:basedOn w:val="1"/>
    <w:qFormat/>
    <w:uiPriority w:val="34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420" w:firstLineChars="200"/>
    </w:pPr>
    <w:rPr>
      <w:rFonts w:ascii="Times New Roman" w:hAnsi="Times New Roman" w:eastAsia="宋体" w:cs="Times New Roman"/>
      <w:color w:val="auto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99358</dc:creator>
  <cp:lastModifiedBy>长歌一曲</cp:lastModifiedBy>
  <dcterms:modified xsi:type="dcterms:W3CDTF">2020-07-17T06:58:41Z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