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880" w:firstLineChars="200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-244475</wp:posOffset>
                </wp:positionH>
                <wp:positionV relativeFrom="paragraph">
                  <wp:posOffset>-760730</wp:posOffset>
                </wp:positionV>
                <wp:extent cx="1257300" cy="523875"/>
                <wp:effectExtent l="4445" t="4445" r="14605" b="508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default" w:ascii="Times New Roman" w:hAnsi="Times New Roman" w:eastAsia="方正仿宋简体" w:cs="Times New Roman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eastAsia="方正仿宋简体" w:cs="Times New Roman"/>
                                <w:sz w:val="32"/>
                                <w:szCs w:val="32"/>
                                <w:lang w:eastAsia="zh-CN"/>
                              </w:rPr>
                              <w:t>附件</w:t>
                            </w:r>
                            <w:r>
                              <w:rPr>
                                <w:rFonts w:hint="eastAsia" w:ascii="Times New Roman" w:hAnsi="Times New Roman" w:eastAsia="方正仿宋简体" w:cs="Times New Roman"/>
                                <w:sz w:val="32"/>
                                <w:szCs w:val="32"/>
                                <w:lang w:val="en-US" w:eastAsia="zh-CN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9.25pt;margin-top:-59.9pt;height:41.25pt;width:99pt;z-index:251659264;mso-width-relative:page;mso-height-relative:page;" fillcolor="#FFFFFF" filled="t" stroked="t" coordsize="21600,21600" o:gfxdata="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wtdb9NkA&#10;AAAMAQAADwAAAAAAAAABACAAAAAiAAAAZHJzL2Rvd25yZXYueG1sUEsBAhQAFAAAAAgAh07iQC0o&#10;Iv5XAgAAyAQAAA4AAAAAAAAAAQAgAAAAKAEAAGRycy9lMm9Eb2MueG1sUEsFBgAAAAAGAAYAWQEA&#10;APEFAAAAAA==&#10;">
                <v:fill on="t" focussize="0,0"/>
                <v:stroke weight="0.5pt" color="#FFFFFF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Times New Roman" w:hAnsi="Times New Roman" w:eastAsia="方正仿宋简体" w:cs="Times New Roman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default" w:ascii="Times New Roman" w:hAnsi="Times New Roman" w:eastAsia="方正仿宋简体" w:cs="Times New Roman"/>
                          <w:sz w:val="32"/>
                          <w:szCs w:val="32"/>
                          <w:lang w:eastAsia="zh-CN"/>
                        </w:rPr>
                        <w:t>附件</w:t>
                      </w:r>
                      <w:r>
                        <w:rPr>
                          <w:rFonts w:hint="eastAsia" w:ascii="Times New Roman" w:hAnsi="Times New Roman" w:eastAsia="方正仿宋简体" w:cs="Times New Roman"/>
                          <w:sz w:val="32"/>
                          <w:szCs w:val="32"/>
                          <w:lang w:val="en-US" w:eastAsia="zh-CN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姚安县交通运输局行政执法公示制度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第一条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为提高安全生产行政执法的透明度，保证安全生产行政执法公开、公平、公正，切实维护相对人的合法权益，根据有关法律、法规的规定，制定本制度。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第二条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本制度适用于本局各执法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机构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第三条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应予公开的行政执法行为包括</w:t>
      </w:r>
      <w:bookmarkStart w:id="0" w:name="_GoBack"/>
      <w:bookmarkEnd w:id="0"/>
      <w:r>
        <w:rPr>
          <w:rFonts w:hint="default" w:ascii="Times New Roman" w:hAnsi="Times New Roman" w:eastAsia="方正仿宋简体" w:cs="Times New Roman"/>
          <w:sz w:val="32"/>
          <w:szCs w:val="32"/>
        </w:rPr>
        <w:t>行政许可、行政处罚、行政强制、行政征收、行政收费、行政检查六类行政执法行为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第四条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下列事项应当公示：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（一）执法权限：包括行政执法机关的具体执法职责、权限以及内设执法机构职责分工和执法人员名单。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（二）执法依据：包括行政执法所依据的有关法律、法规、规章及行政处罚自由裁量基准制度等规范性文件。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（三）执法程序：包括执法流程、执法制度、执法规范等规范行政执法行为的规定。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（四）执法结果：包括行政处罚案件信息及执法监督检查情况。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（五）救济方式：包括行政管理相对人依法享有的权利以及救济途径，行政执法投诉举报的方式、途径及受理反馈程序。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（六）法律、法规、规章和其他规范性文件规定应当公开的其他行政执法信息。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第五条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行政执法公示的载体，包括书面、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网站、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报刊、办公场所公示栏、政府网站等可以让行政管理相对人知晓的方式。积极推行电子政务公开，以网站公示为主要方式。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第六条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行政执法需公示的具体内容由局办公室提出初步审核意见，经局长办公会审议确定，由局办公室统一对外公开。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第七条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行政执法公示事项的内容发生变化时，应当及时更新。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第八条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管理相对人或者社会公众可以通过政府门户网站，查询安监局机关执法机构、人员情况以及执法依据、执法程序等内容。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单位可以委托所属人员持单位证明或个人证件查询行政处罚决定书，个人可以持个人身份证查询行政处罚决定书。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公安、检察、法院、纪委、审计等机关查询和复印案件材料，需经主管法制的领导审批。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第九条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本制度由县交通运输局负责解释。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第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十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条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本制度自发布之日起施行。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jYzY3MjdiMmE2Yzg2YmZhYjUxZDcyYWY5NzAzMjQifQ=="/>
    <w:docVar w:name="KSO_WPS_MARK_KEY" w:val="ccb5521c-98ea-4f07-b7a9-fc5f27944606"/>
  </w:docVars>
  <w:rsids>
    <w:rsidRoot w:val="529B4CA9"/>
    <w:rsid w:val="5290648A"/>
    <w:rsid w:val="529B4C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楚雄州姚安县党政机关单位</Company>
  <Pages>2</Pages>
  <Words>749</Words>
  <Characters>749</Characters>
  <Lines>0</Lines>
  <Paragraphs>0</Paragraphs>
  <TotalTime>0</TotalTime>
  <ScaleCrop>false</ScaleCrop>
  <LinksUpToDate>false</LinksUpToDate>
  <CharactersWithSpaces>769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2020-01-03T07:32:00Z</dcterms:created>
  <dc:creator>Administrator</dc:creator>
  <cp:lastModifiedBy>Administrator</cp:lastModifiedBy>
  <dcterms:modified xsi:type="dcterms:W3CDTF">2025-04-18T00:40:24Z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38720B749FCA496B86649E3749AE8E4C_12</vt:lpwstr>
  </property>
</Properties>
</file>