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附件4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440"/>
        <w:gridCol w:w="1800"/>
        <w:gridCol w:w="2520"/>
        <w:gridCol w:w="2340"/>
        <w:gridCol w:w="2520"/>
        <w:gridCol w:w="14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3500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4"/>
                <w:szCs w:val="44"/>
                <w:lang w:eastAsia="zh-CN"/>
              </w:rPr>
              <w:t>大河口乡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4"/>
                <w:szCs w:val="44"/>
              </w:rPr>
              <w:t>村庄分类任务参考分解表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村委会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自然村数量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干净整洁型村庄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提档升级型村庄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生态宜居型村庄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蒿子箐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麂子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大白者乐行政村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大河口行政村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大栎树行政村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涟水行政村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合   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CF0"/>
    <w:rsid w:val="6DB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2019-12-17T01:46:00Z</dcterms:created>
  <dc:creator></dc:creator>
  <cp:lastModifiedBy></cp:lastModifiedBy>
  <dcterms:modified xsi:type="dcterms:W3CDTF">2019-12-17T01:47:12Z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