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姚安县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水务局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政务信息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网站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信息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第一章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第一条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为加强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姚安县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政务信息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公开网站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管理，确保政务公开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高效、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网站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安全运行，特制定本制度。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政务公开网的主要功能是成为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姚安县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公开的渠道、对外宣传的窗口、互动交流的桥梁和社会监督的平台。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姚安县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公开工作领导小组办公室是政务公开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管理的组织协调机构，负责政务公开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第二章  信息报送和采用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统一管理、分级维护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原则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负责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姚安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县人民政府网站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对应栏目网页的日常维护管理。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局机关各股室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是政务公开网站信息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的重要部门，各单位要认真做好公开内容的采集、上报工作，提高上网信息的时效性、真实性和准确性。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谁上传、谁负责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的原则，实行上网信息审批制度，严把信息审核关。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政务信息公开领导小组办公室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负责信息的采集和更新工作。采集和更新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息须经本单位主要负责人审批后方可公开。未经领导审批的信息不得在网站上发布。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第三章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网站安全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政务公开工作具体负责人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要保管好本单位账号信息，网站的登录名、登录密码不得转告或泄漏给无关人员，不得私自授权给他人进行资料更新。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上网信息不涉密、涉密信息不上网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的原则，遵守保密工作相关规定，凡涉密文件以及工作秘密内容一律不得公开。对违反有关保密规定的，要按有关规定追究相关人员的责任。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第四章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监督考核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政务信息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公开工作领导小组办公室负责对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局机关各股室的信息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采集、上报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进行考核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第十条  本制度由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姚安县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水务局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负责解释，自发布之日起实行。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 w:start="2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6024"/>
    <w:rsid w:val="157C1761"/>
    <w:rsid w:val="19746B3D"/>
    <w:rsid w:val="1B3A3320"/>
    <w:rsid w:val="1E266356"/>
    <w:rsid w:val="25A23C8B"/>
    <w:rsid w:val="39BA6024"/>
    <w:rsid w:val="3F0B46E6"/>
    <w:rsid w:val="46601F2B"/>
    <w:rsid w:val="60055956"/>
    <w:rsid w:val="632C3B08"/>
    <w:rsid w:val="6379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2017-10-07T01:18:00Z</dcterms:created>
  <dc:creator>Administrator</dc:creator>
  <cp:lastModifiedBy>周聪勇</cp:lastModifiedBy>
  <cp:lastPrinted>2019-07-03T07:17:43Z</cp:lastPrinted>
  <dcterms:modified xsi:type="dcterms:W3CDTF">2019-07-03T07:26:24Z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