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姚安县水务局政策解读制度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480" w:lineRule="exact"/>
        <w:ind w:left="0" w:leftChars="0" w:right="0" w:rightChars="0" w:firstLine="640" w:firstLineChars="200"/>
        <w:jc w:val="left"/>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为确保姚安县</w:t>
      </w:r>
      <w:r>
        <w:rPr>
          <w:rFonts w:hint="eastAsia" w:ascii="Times New Roman" w:hAnsi="Times New Roman" w:eastAsia="方正仿宋简体" w:cs="Times New Roman"/>
          <w:kern w:val="2"/>
          <w:sz w:val="32"/>
          <w:szCs w:val="32"/>
          <w:lang w:val="en-US" w:eastAsia="zh-CN" w:bidi="ar-SA"/>
        </w:rPr>
        <w:t>水务局</w:t>
      </w:r>
      <w:r>
        <w:rPr>
          <w:rFonts w:hint="default" w:ascii="Times New Roman" w:hAnsi="Times New Roman" w:eastAsia="方正仿宋简体" w:cs="Times New Roman"/>
          <w:kern w:val="2"/>
          <w:sz w:val="32"/>
          <w:szCs w:val="32"/>
          <w:lang w:val="en-US" w:eastAsia="zh-CN" w:bidi="ar-SA"/>
        </w:rPr>
        <w:t>政府公开信息让人民群众看得见、听得懂、信得过、能监督，根据《姚安县人民政府关于印发开展基层政务公开标准化规范化试点工作实施方案的通知》（姚政通〔2017〕24号），结合</w:t>
      </w:r>
      <w:r>
        <w:rPr>
          <w:rFonts w:hint="eastAsia" w:ascii="Times New Roman" w:hAnsi="Times New Roman" w:eastAsia="方正仿宋简体" w:cs="Times New Roman"/>
          <w:kern w:val="2"/>
          <w:sz w:val="32"/>
          <w:szCs w:val="32"/>
          <w:lang w:val="en-US" w:eastAsia="zh-CN" w:bidi="ar-SA"/>
        </w:rPr>
        <w:t>水务</w:t>
      </w:r>
      <w:r>
        <w:rPr>
          <w:rFonts w:hint="default" w:ascii="Times New Roman" w:hAnsi="Times New Roman" w:eastAsia="方正仿宋简体" w:cs="Times New Roman"/>
          <w:kern w:val="2"/>
          <w:sz w:val="32"/>
          <w:szCs w:val="32"/>
          <w:lang w:val="en-US" w:eastAsia="zh-CN" w:bidi="ar-SA"/>
        </w:rPr>
        <w:t>工作实际，制定本制度。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一、明确解读范围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水务局负责起草的、</w:t>
      </w:r>
      <w:r>
        <w:rPr>
          <w:rFonts w:hint="default" w:ascii="Times New Roman" w:hAnsi="Times New Roman" w:eastAsia="方正仿宋简体" w:cs="Times New Roman"/>
          <w:kern w:val="2"/>
          <w:sz w:val="32"/>
          <w:szCs w:val="32"/>
          <w:lang w:val="en-US" w:eastAsia="zh-CN" w:bidi="ar-SA"/>
        </w:rPr>
        <w:t>报请以</w:t>
      </w:r>
      <w:r>
        <w:rPr>
          <w:rFonts w:hint="eastAsia" w:ascii="Times New Roman" w:hAnsi="Times New Roman" w:eastAsia="方正仿宋简体" w:cs="Times New Roman"/>
          <w:kern w:val="2"/>
          <w:sz w:val="32"/>
          <w:szCs w:val="32"/>
          <w:lang w:val="en-US" w:eastAsia="zh-CN" w:bidi="ar-SA"/>
        </w:rPr>
        <w:t>县人民</w:t>
      </w:r>
      <w:r>
        <w:rPr>
          <w:rFonts w:hint="default" w:ascii="Times New Roman" w:hAnsi="Times New Roman" w:eastAsia="方正仿宋简体" w:cs="Times New Roman"/>
          <w:kern w:val="2"/>
          <w:sz w:val="32"/>
          <w:szCs w:val="32"/>
          <w:lang w:val="en-US" w:eastAsia="zh-CN" w:bidi="ar-SA"/>
        </w:rPr>
        <w:t>政府名义印发的规范性文件</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我局制发或者联合制发的规范性文件</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其他涉及面广、社会关注度高、专业性强的政策法规，尤其是对涉及公民、法人和其他组织切身利益、重大公共利益、需广泛知晓的重要政策性文件</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均应当及时进行解读。</w:t>
      </w:r>
      <w:r>
        <w:rPr>
          <w:rFonts w:hint="eastAsia" w:ascii="Times New Roman" w:hAnsi="Times New Roman" w:eastAsia="方正仿宋简体" w:cs="Times New Roman"/>
          <w:kern w:val="2"/>
          <w:sz w:val="32"/>
          <w:szCs w:val="32"/>
          <w:lang w:val="en-US" w:eastAsia="zh-CN" w:bidi="ar-SA"/>
        </w:rPr>
        <w:t>并</w:t>
      </w:r>
      <w:r>
        <w:rPr>
          <w:rFonts w:hint="default" w:ascii="Times New Roman" w:hAnsi="Times New Roman" w:eastAsia="方正仿宋简体" w:cs="Times New Roman"/>
          <w:kern w:val="2"/>
          <w:sz w:val="32"/>
          <w:szCs w:val="32"/>
          <w:lang w:val="en-US" w:eastAsia="zh-CN" w:bidi="ar-SA"/>
        </w:rPr>
        <w:t>通过网站、政府信息公开平台、新闻媒体等载体</w:t>
      </w:r>
      <w:r>
        <w:rPr>
          <w:rFonts w:hint="eastAsia" w:ascii="Times New Roman" w:hAnsi="Times New Roman" w:eastAsia="方正仿宋简体" w:cs="Times New Roman"/>
          <w:kern w:val="2"/>
          <w:sz w:val="32"/>
          <w:szCs w:val="32"/>
          <w:lang w:val="en-US" w:eastAsia="zh-CN" w:bidi="ar-SA"/>
        </w:rPr>
        <w:t>公开解读信息</w:t>
      </w:r>
      <w:r>
        <w:rPr>
          <w:rFonts w:hint="default" w:ascii="Times New Roman" w:hAnsi="Times New Roman" w:eastAsia="方正仿宋简体" w:cs="Times New Roman"/>
          <w:kern w:val="2"/>
          <w:sz w:val="32"/>
          <w:szCs w:val="32"/>
          <w:lang w:val="en-US" w:eastAsia="zh-CN" w:bidi="ar-SA"/>
        </w:rPr>
        <w:t>，切实提高政策的知晓度和执行力</w:t>
      </w:r>
      <w:r>
        <w:rPr>
          <w:rFonts w:hint="eastAsia" w:ascii="Times New Roman" w:hAnsi="Times New Roman" w:eastAsia="方正仿宋简体" w:cs="Times New Roman"/>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二、规范解读程序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坚持</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谁起草、谁解读</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原则，由具体起草</w:t>
      </w:r>
      <w:r>
        <w:rPr>
          <w:rFonts w:hint="eastAsia" w:ascii="Times New Roman" w:hAnsi="Times New Roman" w:eastAsia="方正仿宋简体" w:cs="Times New Roman"/>
          <w:kern w:val="2"/>
          <w:sz w:val="32"/>
          <w:szCs w:val="32"/>
          <w:lang w:val="en-US" w:eastAsia="zh-CN" w:bidi="ar-SA"/>
        </w:rPr>
        <w:t>股</w:t>
      </w:r>
      <w:r>
        <w:rPr>
          <w:rFonts w:hint="default" w:ascii="Times New Roman" w:hAnsi="Times New Roman" w:eastAsia="方正仿宋简体" w:cs="Times New Roman"/>
          <w:kern w:val="2"/>
          <w:sz w:val="32"/>
          <w:szCs w:val="32"/>
          <w:lang w:val="en-US" w:eastAsia="zh-CN" w:bidi="ar-SA"/>
        </w:rPr>
        <w:t>室负责解读。联合发文的，由责任</w:t>
      </w:r>
      <w:r>
        <w:rPr>
          <w:rFonts w:hint="eastAsia" w:ascii="Times New Roman" w:hAnsi="Times New Roman" w:eastAsia="方正仿宋简体" w:cs="Times New Roman"/>
          <w:kern w:val="2"/>
          <w:sz w:val="32"/>
          <w:szCs w:val="32"/>
          <w:lang w:val="en-US" w:eastAsia="zh-CN" w:bidi="ar-SA"/>
        </w:rPr>
        <w:t>股</w:t>
      </w:r>
      <w:r>
        <w:rPr>
          <w:rFonts w:hint="default" w:ascii="Times New Roman" w:hAnsi="Times New Roman" w:eastAsia="方正仿宋简体" w:cs="Times New Roman"/>
          <w:kern w:val="2"/>
          <w:sz w:val="32"/>
          <w:szCs w:val="32"/>
          <w:lang w:val="en-US" w:eastAsia="zh-CN" w:bidi="ar-SA"/>
        </w:rPr>
        <w:t>室与联合发文单位明确具体的解读责任</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负责解读责任的</w:t>
      </w:r>
      <w:r>
        <w:rPr>
          <w:rFonts w:hint="eastAsia" w:ascii="Times New Roman" w:hAnsi="Times New Roman" w:eastAsia="方正仿宋简体" w:cs="Times New Roman"/>
          <w:kern w:val="2"/>
          <w:sz w:val="32"/>
          <w:szCs w:val="32"/>
          <w:lang w:val="en-US" w:eastAsia="zh-CN" w:bidi="ar-SA"/>
        </w:rPr>
        <w:t>股</w:t>
      </w:r>
      <w:r>
        <w:rPr>
          <w:rFonts w:hint="default" w:ascii="Times New Roman" w:hAnsi="Times New Roman" w:eastAsia="方正仿宋简体" w:cs="Times New Roman"/>
          <w:kern w:val="2"/>
          <w:sz w:val="32"/>
          <w:szCs w:val="32"/>
          <w:lang w:val="en-US" w:eastAsia="zh-CN" w:bidi="ar-SA"/>
        </w:rPr>
        <w:t>室应当制定具体的解读方案</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在报送拟以</w:t>
      </w:r>
      <w:r>
        <w:rPr>
          <w:rFonts w:hint="eastAsia" w:ascii="Times New Roman" w:hAnsi="Times New Roman" w:eastAsia="方正仿宋简体" w:cs="Times New Roman"/>
          <w:kern w:val="2"/>
          <w:sz w:val="32"/>
          <w:szCs w:val="32"/>
          <w:lang w:val="en-US" w:eastAsia="zh-CN" w:bidi="ar-SA"/>
        </w:rPr>
        <w:t>县人民</w:t>
      </w:r>
      <w:r>
        <w:rPr>
          <w:rFonts w:hint="default" w:ascii="Times New Roman" w:hAnsi="Times New Roman" w:eastAsia="方正仿宋简体" w:cs="Times New Roman"/>
          <w:kern w:val="2"/>
          <w:sz w:val="32"/>
          <w:szCs w:val="32"/>
          <w:lang w:val="en-US" w:eastAsia="zh-CN" w:bidi="ar-SA"/>
        </w:rPr>
        <w:t>政府名义出台政府规章、重要政策的请示时，要一并报送解读方案，解读方案一般包括解读提纲、解读形式、解读途径、解读时间等。解读方案一经</w:t>
      </w:r>
      <w:r>
        <w:rPr>
          <w:rFonts w:hint="eastAsia" w:ascii="Times New Roman" w:hAnsi="Times New Roman" w:eastAsia="方正仿宋简体" w:cs="Times New Roman"/>
          <w:kern w:val="2"/>
          <w:sz w:val="32"/>
          <w:szCs w:val="32"/>
          <w:lang w:val="en-US" w:eastAsia="zh-CN" w:bidi="ar-SA"/>
        </w:rPr>
        <w:t>县人民</w:t>
      </w:r>
      <w:r>
        <w:rPr>
          <w:rFonts w:hint="default" w:ascii="Times New Roman" w:hAnsi="Times New Roman" w:eastAsia="方正仿宋简体" w:cs="Times New Roman"/>
          <w:kern w:val="2"/>
          <w:sz w:val="32"/>
          <w:szCs w:val="32"/>
          <w:lang w:val="en-US" w:eastAsia="zh-CN" w:bidi="ar-SA"/>
        </w:rPr>
        <w:t>政府审定，起草单位要抓紧编写解读材料，按时发布。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三、明确解读要求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要全面、准确阐明文件的出台背景、主要依据、对象范围、重点内容、特色亮点、惠民助企举措、具体办事指引及流程以及新老政策差异等；对涉及群众切身利益的政策调整要进行重点精细解读，切实提高政策的知晓度和执行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要注重解读语言的科学性和权威性，避免“误读”、“误解”；解读语言要通俗易懂、浅显明白，用老百姓的话解说老百姓关心的事，避免“拿来主义”。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要统筹运用文稿解读、专家解读、政策问答、在线访谈、媒体专访、新闻发布会等解读形式，发挥政府网站</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电视电台、新闻报纸等重要载体作用，多用社会公众喜闻乐见的解读形式，扩大传播范围和受众面。要适应网络传播特点，更多运用图片、图表、图解、视频等方式，使政策解读传播可视、可读、可感。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四、健全解读机制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水务局</w:t>
      </w:r>
      <w:r>
        <w:rPr>
          <w:rFonts w:hint="default" w:ascii="Times New Roman" w:hAnsi="Times New Roman" w:eastAsia="方正仿宋简体" w:cs="Times New Roman"/>
          <w:kern w:val="2"/>
          <w:sz w:val="32"/>
          <w:szCs w:val="32"/>
          <w:lang w:val="en-US" w:eastAsia="zh-CN" w:bidi="ar-SA"/>
        </w:rPr>
        <w:t>办公室负责牵头政策解读工作，协调、督促各股室及时报送解读方案和解读材料。各股室是政策解读的主体，要根据要求，精心编制解读方案和解读材料，拓展解读内涵，提升解读效率，回应社会关切。政府网站是政策解读的第一平台，要完善政府信息公开目录政策解读专栏，迅速跟进、主动对接，及时更新解读内容。</w:t>
      </w:r>
    </w:p>
    <w:p>
      <w:pPr>
        <w:spacing w:line="579" w:lineRule="exact"/>
        <w:ind w:firstLine="640" w:firstLineChars="200"/>
        <w:rPr>
          <w:rFonts w:hint="eastAsia" w:ascii="方正黑体简体" w:hAnsi="方正黑体简体" w:eastAsia="方正黑体简体" w:cs="方正黑体简体"/>
          <w:sz w:val="32"/>
          <w:szCs w:val="32"/>
          <w:lang w:val="en-US" w:eastAsia="zh-CN"/>
        </w:rPr>
      </w:pPr>
      <w:bookmarkStart w:id="0" w:name="_GoBack"/>
      <w:r>
        <w:rPr>
          <w:rFonts w:hint="eastAsia" w:ascii="方正黑体简体" w:hAnsi="方正黑体简体" w:eastAsia="方正黑体简体" w:cs="方正黑体简体"/>
          <w:sz w:val="32"/>
          <w:szCs w:val="32"/>
          <w:lang w:val="en-US" w:eastAsia="zh-CN"/>
        </w:rPr>
        <w:t>五、本制度由姚安县水务局负责解释。</w:t>
      </w:r>
    </w:p>
    <w:p>
      <w:pPr>
        <w:spacing w:line="579" w:lineRule="exact"/>
        <w:ind w:firstLine="640" w:firstLineChars="200"/>
        <w:rPr>
          <w:rFonts w:hint="default" w:ascii="Times New Roman" w:hAnsi="Times New Roman" w:eastAsia="方正仿宋简体" w:cs="Times New Roman"/>
          <w:b w:val="0"/>
          <w:i w:val="0"/>
          <w:caps w:val="0"/>
          <w:color w:val="auto"/>
          <w:spacing w:val="0"/>
          <w:sz w:val="32"/>
          <w:szCs w:val="32"/>
          <w:shd w:val="clear" w:fill="FFFFFF"/>
          <w:lang w:val="en-US" w:eastAsia="zh-CN"/>
        </w:rPr>
      </w:pPr>
      <w:r>
        <w:rPr>
          <w:rFonts w:hint="eastAsia" w:ascii="方正黑体简体" w:hAnsi="方正黑体简体" w:eastAsia="方正黑体简体" w:cs="方正黑体简体"/>
          <w:sz w:val="32"/>
          <w:szCs w:val="32"/>
          <w:lang w:val="en-US" w:eastAsia="zh-CN"/>
        </w:rPr>
        <w:t>六、本制度自发布之日起实施。</w:t>
      </w:r>
      <w:r>
        <w:rPr>
          <w:rFonts w:hint="default" w:ascii="方正黑体简体" w:hAnsi="方正黑体简体" w:eastAsia="方正黑体简体" w:cs="方正黑体简体"/>
          <w:sz w:val="32"/>
          <w:szCs w:val="32"/>
          <w:lang w:val="en-US" w:eastAsia="zh-CN"/>
        </w:rPr>
        <w:t xml:space="preserve">   </w:t>
      </w:r>
      <w:bookmarkEnd w:id="0"/>
      <w:r>
        <w:rPr>
          <w:rFonts w:hint="default" w:ascii="Times New Roman" w:hAnsi="Times New Roman" w:eastAsia="方正仿宋简体" w:cs="Times New Roman"/>
          <w:b w:val="0"/>
          <w:i w:val="0"/>
          <w:caps w:val="0"/>
          <w:color w:val="auto"/>
          <w:spacing w:val="0"/>
          <w:sz w:val="32"/>
          <w:szCs w:val="32"/>
          <w:shd w:val="clear" w:fill="FFFFFF"/>
          <w:lang w:val="en-US" w:eastAsia="zh-CN"/>
        </w:rPr>
        <w:t xml:space="preserve">                 </w:t>
      </w:r>
      <w:r>
        <w:rPr>
          <w:rFonts w:hint="eastAsia" w:ascii="Times New Roman" w:hAnsi="Times New Roman" w:eastAsia="方正仿宋简体" w:cs="Times New Roman"/>
          <w:b w:val="0"/>
          <w:i w:val="0"/>
          <w:caps w:val="0"/>
          <w:color w:val="auto"/>
          <w:spacing w:val="0"/>
          <w:sz w:val="32"/>
          <w:szCs w:val="32"/>
          <w:shd w:val="clear" w:fill="FFFFFF"/>
          <w:lang w:val="en-US" w:eastAsia="zh-CN"/>
        </w:rPr>
        <w:t xml:space="preserve"> </w:t>
      </w:r>
    </w:p>
    <w:sectPr>
      <w:footerReference r:id="rId3" w:type="default"/>
      <w:pgSz w:w="11906" w:h="16838"/>
      <w:pgMar w:top="2098" w:right="1474" w:bottom="1984" w:left="1587" w:header="851" w:footer="1587" w:gutter="0"/>
      <w:pgNumType w:fmt="numberInDash"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C05FD"/>
    <w:rsid w:val="043957DA"/>
    <w:rsid w:val="12E44E43"/>
    <w:rsid w:val="131B55C6"/>
    <w:rsid w:val="1E0E227B"/>
    <w:rsid w:val="30CA48FC"/>
    <w:rsid w:val="32E7569B"/>
    <w:rsid w:val="42EC3E6D"/>
    <w:rsid w:val="48E3305F"/>
    <w:rsid w:val="4D7833CD"/>
    <w:rsid w:val="511C05FD"/>
    <w:rsid w:val="59BE0169"/>
    <w:rsid w:val="64372A31"/>
    <w:rsid w:val="67817566"/>
    <w:rsid w:val="6FE71252"/>
    <w:rsid w:val="76707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2017-10-06T07:54:00Z</dcterms:created>
  <dc:creator>Administrator</dc:creator>
  <cp:lastModifiedBy>周聪勇</cp:lastModifiedBy>
  <cp:lastPrinted>2019-07-03T07:07:07Z</cp:lastPrinted>
  <dcterms:modified xsi:type="dcterms:W3CDTF">2019-07-03T07:26:27Z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